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3B487" w14:textId="45928857" w:rsidR="009C5CF1" w:rsidRDefault="00332607" w:rsidP="009C5CF1">
      <w:pPr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LIBOR</w:t>
      </w:r>
      <w:r w:rsidR="009C5CF1" w:rsidRPr="00C478AD">
        <w:rPr>
          <w:rFonts w:eastAsiaTheme="minorHAnsi"/>
          <w:b/>
          <w:bCs/>
          <w:color w:val="000000"/>
          <w:sz w:val="28"/>
          <w:szCs w:val="28"/>
        </w:rPr>
        <w:t xml:space="preserve"> Self-Assessment Tool</w:t>
      </w:r>
    </w:p>
    <w:p w14:paraId="077F2CE8" w14:textId="0F65E4FF" w:rsidR="00E04CC0" w:rsidRDefault="009C5CF1" w:rsidP="009C5CF1">
      <w:pPr>
        <w:jc w:val="center"/>
        <w:rPr>
          <w:rFonts w:eastAsiaTheme="minorHAnsi"/>
          <w:color w:val="000000"/>
        </w:rPr>
      </w:pPr>
      <w:r w:rsidRPr="00C478AD">
        <w:rPr>
          <w:rFonts w:eastAsiaTheme="minorHAnsi"/>
          <w:color w:val="000000"/>
        </w:rPr>
        <w:t xml:space="preserve">Attachment to </w:t>
      </w:r>
      <w:r w:rsidR="00C05939" w:rsidRPr="00C478AD">
        <w:rPr>
          <w:rFonts w:eastAsiaTheme="minorHAnsi"/>
          <w:color w:val="000000"/>
        </w:rPr>
        <w:t>OCC Bulletin 2021-</w:t>
      </w:r>
      <w:r w:rsidR="0046342C">
        <w:rPr>
          <w:rFonts w:eastAsiaTheme="minorHAnsi"/>
          <w:color w:val="000000"/>
        </w:rPr>
        <w:t>46</w:t>
      </w:r>
      <w:r w:rsidR="00C05939" w:rsidRPr="00C478AD">
        <w:rPr>
          <w:rFonts w:eastAsiaTheme="minorHAnsi"/>
          <w:color w:val="000000"/>
        </w:rPr>
        <w:t>,</w:t>
      </w:r>
      <w:r w:rsidR="00E242D3">
        <w:rPr>
          <w:rFonts w:eastAsiaTheme="minorHAnsi"/>
          <w:color w:val="000000"/>
        </w:rPr>
        <w:t xml:space="preserve"> </w:t>
      </w:r>
      <w:r w:rsidR="00C05939" w:rsidRPr="00C478AD">
        <w:rPr>
          <w:rFonts w:eastAsiaTheme="minorHAnsi"/>
          <w:color w:val="000000"/>
        </w:rPr>
        <w:t>“</w:t>
      </w:r>
      <w:r w:rsidR="00332607">
        <w:rPr>
          <w:rFonts w:eastAsiaTheme="minorHAnsi"/>
          <w:color w:val="000000"/>
        </w:rPr>
        <w:t>LIBOR</w:t>
      </w:r>
      <w:r w:rsidR="00C05939" w:rsidRPr="00C478AD">
        <w:rPr>
          <w:rFonts w:eastAsiaTheme="minorHAnsi"/>
          <w:color w:val="000000"/>
        </w:rPr>
        <w:t xml:space="preserve"> Transition: </w:t>
      </w:r>
    </w:p>
    <w:p w14:paraId="49C19C2C" w14:textId="4C2D78C6" w:rsidR="009C5CF1" w:rsidRPr="00C478AD" w:rsidRDefault="005A3E6B" w:rsidP="009C5CF1">
      <w:pPr>
        <w:jc w:val="center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Updated </w:t>
      </w:r>
      <w:r w:rsidR="00C05939" w:rsidRPr="00C478AD">
        <w:rPr>
          <w:rFonts w:eastAsiaTheme="minorHAnsi"/>
          <w:color w:val="000000"/>
        </w:rPr>
        <w:t>Self-Assessment Tool for Banks”</w:t>
      </w:r>
    </w:p>
    <w:p w14:paraId="23912B03" w14:textId="77777777" w:rsidR="009C5CF1" w:rsidRDefault="009C5CF1" w:rsidP="009C5CF1">
      <w:pPr>
        <w:rPr>
          <w:rFonts w:eastAsiaTheme="minorHAnsi"/>
          <w:color w:val="000000"/>
          <w:szCs w:val="24"/>
        </w:rPr>
      </w:pP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926"/>
        <w:gridCol w:w="1554"/>
        <w:gridCol w:w="2880"/>
      </w:tblGrid>
      <w:tr w:rsidR="009C5CF1" w:rsidRPr="00701682" w14:paraId="4C0E9EE1" w14:textId="77777777" w:rsidTr="009F0C47">
        <w:trPr>
          <w:trHeight w:val="1475"/>
        </w:trPr>
        <w:tc>
          <w:tcPr>
            <w:tcW w:w="9360" w:type="dxa"/>
            <w:gridSpan w:val="3"/>
          </w:tcPr>
          <w:p w14:paraId="473B6140" w14:textId="77777777" w:rsidR="009C5CF1" w:rsidRPr="00AD613A" w:rsidRDefault="009C5CF1" w:rsidP="009F0C47">
            <w:pPr>
              <w:tabs>
                <w:tab w:val="left" w:pos="5760"/>
                <w:tab w:val="left" w:pos="7560"/>
              </w:tabs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Overall comments: </w:t>
            </w:r>
          </w:p>
        </w:tc>
      </w:tr>
      <w:tr w:rsidR="009C5CF1" w:rsidRPr="00701682" w14:paraId="48354021" w14:textId="77777777" w:rsidTr="009F0C47">
        <w:tc>
          <w:tcPr>
            <w:tcW w:w="9360" w:type="dxa"/>
            <w:gridSpan w:val="3"/>
            <w:vAlign w:val="center"/>
          </w:tcPr>
          <w:p w14:paraId="67F1F447" w14:textId="640839A7" w:rsidR="009C5CF1" w:rsidRPr="003453DE" w:rsidRDefault="009C5CF1" w:rsidP="009F0C47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6656E">
              <w:rPr>
                <w:rFonts w:cs="Arial"/>
                <w:b/>
                <w:bCs/>
                <w:sz w:val="18"/>
                <w:szCs w:val="18"/>
              </w:rPr>
              <w:t xml:space="preserve">Exposure </w:t>
            </w:r>
            <w:r w:rsidR="00D87861">
              <w:rPr>
                <w:rFonts w:cs="Arial"/>
                <w:b/>
                <w:bCs/>
                <w:sz w:val="18"/>
                <w:szCs w:val="18"/>
              </w:rPr>
              <w:t>a</w:t>
            </w:r>
            <w:r w:rsidRPr="0086656E">
              <w:rPr>
                <w:rFonts w:cs="Arial"/>
                <w:b/>
                <w:bCs/>
                <w:sz w:val="18"/>
                <w:szCs w:val="18"/>
              </w:rPr>
              <w:t xml:space="preserve">ssessment and </w:t>
            </w:r>
            <w:r w:rsidR="00D87861">
              <w:rPr>
                <w:rFonts w:cs="Arial"/>
                <w:b/>
                <w:bCs/>
                <w:sz w:val="18"/>
                <w:szCs w:val="18"/>
              </w:rPr>
              <w:t>p</w:t>
            </w:r>
            <w:r w:rsidRPr="003453DE">
              <w:rPr>
                <w:rFonts w:cs="Arial"/>
                <w:b/>
                <w:bCs/>
                <w:sz w:val="18"/>
                <w:szCs w:val="18"/>
              </w:rPr>
              <w:t>lanning</w:t>
            </w:r>
          </w:p>
        </w:tc>
      </w:tr>
      <w:tr w:rsidR="00662957" w:rsidRPr="00701682" w14:paraId="4872436D" w14:textId="77777777" w:rsidTr="009F0C47">
        <w:tc>
          <w:tcPr>
            <w:tcW w:w="4926" w:type="dxa"/>
          </w:tcPr>
          <w:p w14:paraId="17208937" w14:textId="6EE3E319" w:rsidR="00662957" w:rsidRPr="00B83092" w:rsidRDefault="00662957" w:rsidP="009F0C47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86656E">
              <w:rPr>
                <w:rFonts w:cs="Arial"/>
                <w:b/>
                <w:bCs/>
                <w:sz w:val="18"/>
                <w:szCs w:val="18"/>
              </w:rPr>
              <w:t>Objective:</w:t>
            </w:r>
            <w:r w:rsidRPr="0086656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Is the bank managing </w:t>
            </w:r>
            <w:r w:rsidR="00332607">
              <w:rPr>
                <w:rFonts w:cs="Arial"/>
                <w:sz w:val="18"/>
                <w:szCs w:val="18"/>
              </w:rPr>
              <w:t>LIBOR</w:t>
            </w:r>
            <w:r>
              <w:rPr>
                <w:rFonts w:cs="Arial"/>
                <w:sz w:val="18"/>
                <w:szCs w:val="18"/>
              </w:rPr>
              <w:t xml:space="preserve"> cessation from an</w:t>
            </w:r>
            <w:r w:rsidRPr="0086656E">
              <w:rPr>
                <w:rFonts w:cs="Arial"/>
                <w:sz w:val="18"/>
                <w:szCs w:val="18"/>
              </w:rPr>
              <w:t xml:space="preserve"> appropriate</w:t>
            </w:r>
            <w:r>
              <w:rPr>
                <w:rFonts w:cs="Arial"/>
                <w:sz w:val="18"/>
                <w:szCs w:val="18"/>
              </w:rPr>
              <w:t>ly detailed</w:t>
            </w:r>
            <w:r w:rsidRPr="0086656E">
              <w:rPr>
                <w:rFonts w:cs="Arial"/>
                <w:sz w:val="18"/>
                <w:szCs w:val="18"/>
              </w:rPr>
              <w:t xml:space="preserve"> transition plan commensurate with the size and complexity of </w:t>
            </w:r>
            <w:r w:rsidR="00332607">
              <w:rPr>
                <w:rFonts w:cs="Arial"/>
                <w:sz w:val="18"/>
                <w:szCs w:val="18"/>
              </w:rPr>
              <w:t>LIBOR</w:t>
            </w:r>
            <w:r w:rsidRPr="0086656E">
              <w:rPr>
                <w:rFonts w:cs="Arial"/>
                <w:sz w:val="18"/>
                <w:szCs w:val="18"/>
              </w:rPr>
              <w:t xml:space="preserve"> exposures? </w:t>
            </w:r>
            <w:r>
              <w:rPr>
                <w:rFonts w:cs="Arial"/>
                <w:sz w:val="18"/>
                <w:szCs w:val="18"/>
              </w:rPr>
              <w:t xml:space="preserve">Keep in mind that even a few contracts (e.g., loans) could pose material reputation risk to a bank and materially affect earnings through legal expenses. </w:t>
            </w:r>
            <w:r w:rsidRPr="0086656E">
              <w:rPr>
                <w:rFonts w:cs="Arial"/>
                <w:sz w:val="18"/>
                <w:szCs w:val="18"/>
              </w:rPr>
              <w:t>Consider in your assessment:</w:t>
            </w:r>
          </w:p>
        </w:tc>
        <w:tc>
          <w:tcPr>
            <w:tcW w:w="1554" w:type="dxa"/>
          </w:tcPr>
          <w:p w14:paraId="563CB63B" w14:textId="72BB2C6C" w:rsidR="00662957" w:rsidRDefault="0046342C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181629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B1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>
              <w:rPr>
                <w:rFonts w:eastAsia="CG Omega" w:cs="Arial"/>
                <w:sz w:val="18"/>
                <w:szCs w:val="18"/>
              </w:rPr>
              <w:t xml:space="preserve"> Yes</w:t>
            </w:r>
          </w:p>
          <w:p w14:paraId="7227D890" w14:textId="06A0F1A2" w:rsidR="00662957" w:rsidRPr="00701682" w:rsidRDefault="0046342C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193585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B1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>
              <w:rPr>
                <w:rFonts w:eastAsia="CG Omega" w:cs="Arial"/>
                <w:sz w:val="18"/>
                <w:szCs w:val="18"/>
              </w:rPr>
              <w:t xml:space="preserve"> No</w:t>
            </w:r>
          </w:p>
        </w:tc>
        <w:tc>
          <w:tcPr>
            <w:tcW w:w="2880" w:type="dxa"/>
          </w:tcPr>
          <w:p w14:paraId="7DABF210" w14:textId="77777777" w:rsidR="00662957" w:rsidRPr="00701682" w:rsidRDefault="00662957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r>
              <w:rPr>
                <w:rFonts w:eastAsia="CG Omega" w:cs="Arial"/>
                <w:sz w:val="18"/>
                <w:szCs w:val="18"/>
              </w:rPr>
              <w:t xml:space="preserve">Comments: </w:t>
            </w:r>
          </w:p>
        </w:tc>
      </w:tr>
      <w:tr w:rsidR="00662957" w:rsidRPr="00701682" w14:paraId="4C2FE7CB" w14:textId="77777777" w:rsidTr="009F0C47">
        <w:tc>
          <w:tcPr>
            <w:tcW w:w="4926" w:type="dxa"/>
          </w:tcPr>
          <w:p w14:paraId="629190ED" w14:textId="09971DE4" w:rsidR="00662957" w:rsidRPr="00B83092" w:rsidRDefault="00662957" w:rsidP="00662957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Did</w:t>
            </w:r>
            <w:r w:rsidRPr="0086656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management </w:t>
            </w:r>
            <w:r w:rsidRPr="0086656E">
              <w:rPr>
                <w:rFonts w:cs="Arial"/>
                <w:sz w:val="18"/>
                <w:szCs w:val="18"/>
              </w:rPr>
              <w:t>identif</w:t>
            </w:r>
            <w:r>
              <w:rPr>
                <w:rFonts w:cs="Arial"/>
                <w:sz w:val="18"/>
                <w:szCs w:val="18"/>
              </w:rPr>
              <w:t>y</w:t>
            </w:r>
            <w:r w:rsidRPr="0086656E">
              <w:rPr>
                <w:rFonts w:cs="Arial"/>
                <w:sz w:val="18"/>
                <w:szCs w:val="18"/>
              </w:rPr>
              <w:t xml:space="preserve"> and quantif</w:t>
            </w:r>
            <w:r>
              <w:rPr>
                <w:rFonts w:cs="Arial"/>
                <w:sz w:val="18"/>
                <w:szCs w:val="18"/>
              </w:rPr>
              <w:t>y</w:t>
            </w:r>
            <w:r w:rsidRPr="0086656E">
              <w:rPr>
                <w:rFonts w:cs="Arial"/>
                <w:sz w:val="18"/>
                <w:szCs w:val="18"/>
              </w:rPr>
              <w:t xml:space="preserve"> </w:t>
            </w:r>
            <w:r w:rsidR="00332607">
              <w:rPr>
                <w:rFonts w:cs="Arial"/>
                <w:sz w:val="18"/>
                <w:szCs w:val="18"/>
              </w:rPr>
              <w:t>LIBOR</w:t>
            </w:r>
            <w:r w:rsidRPr="0086656E">
              <w:rPr>
                <w:rFonts w:cs="Arial"/>
                <w:sz w:val="18"/>
                <w:szCs w:val="18"/>
              </w:rPr>
              <w:t xml:space="preserve"> exposure in all product categories and lines of business, both on- and off-balance</w:t>
            </w:r>
            <w:r>
              <w:rPr>
                <w:rFonts w:cs="Arial"/>
                <w:sz w:val="18"/>
                <w:szCs w:val="18"/>
              </w:rPr>
              <w:t>-</w:t>
            </w:r>
            <w:r w:rsidRPr="0086656E">
              <w:rPr>
                <w:rFonts w:cs="Arial"/>
                <w:sz w:val="18"/>
                <w:szCs w:val="18"/>
              </w:rPr>
              <w:t>sheet,</w:t>
            </w:r>
            <w:r>
              <w:rPr>
                <w:rFonts w:cs="Arial"/>
                <w:sz w:val="18"/>
                <w:szCs w:val="18"/>
              </w:rPr>
              <w:t xml:space="preserve"> and asset management activities outside of loans and deposits</w:t>
            </w:r>
            <w:r w:rsidRPr="0086656E"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1554" w:type="dxa"/>
          </w:tcPr>
          <w:p w14:paraId="0571B642" w14:textId="2D9F5EF8" w:rsidR="00662957" w:rsidRDefault="0046342C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-22684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>
              <w:rPr>
                <w:rFonts w:eastAsia="CG Omega" w:cs="Arial"/>
                <w:sz w:val="18"/>
                <w:szCs w:val="18"/>
              </w:rPr>
              <w:t xml:space="preserve"> Yes</w:t>
            </w:r>
          </w:p>
          <w:p w14:paraId="7669B380" w14:textId="1AE70EFC" w:rsidR="00662957" w:rsidRPr="00701682" w:rsidRDefault="0046342C" w:rsidP="009F0C47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-138671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>
              <w:rPr>
                <w:rFonts w:eastAsia="CG Omega" w:cs="Arial"/>
                <w:sz w:val="18"/>
                <w:szCs w:val="18"/>
              </w:rPr>
              <w:t xml:space="preserve"> No</w:t>
            </w:r>
          </w:p>
        </w:tc>
        <w:tc>
          <w:tcPr>
            <w:tcW w:w="2880" w:type="dxa"/>
          </w:tcPr>
          <w:p w14:paraId="5018382D" w14:textId="77777777" w:rsidR="00662957" w:rsidRPr="00701682" w:rsidRDefault="00662957" w:rsidP="009F0C47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662957" w:rsidRPr="00701682" w14:paraId="5E034BEB" w14:textId="77777777" w:rsidTr="009F0C47">
        <w:tc>
          <w:tcPr>
            <w:tcW w:w="4926" w:type="dxa"/>
          </w:tcPr>
          <w:p w14:paraId="64DC4198" w14:textId="44A8EF03" w:rsidR="00662957" w:rsidRPr="0086656E" w:rsidRDefault="00662957" w:rsidP="00662957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Did management assess all third-party-provided products, services, and systems for </w:t>
            </w:r>
            <w:r w:rsidR="00332607">
              <w:rPr>
                <w:rFonts w:cs="Arial"/>
                <w:sz w:val="18"/>
                <w:szCs w:val="18"/>
              </w:rPr>
              <w:t>LIBOR</w:t>
            </w:r>
            <w:r>
              <w:rPr>
                <w:rFonts w:cs="Arial"/>
                <w:sz w:val="18"/>
                <w:szCs w:val="18"/>
              </w:rPr>
              <w:t xml:space="preserve"> exposure?</w:t>
            </w:r>
          </w:p>
        </w:tc>
        <w:tc>
          <w:tcPr>
            <w:tcW w:w="1554" w:type="dxa"/>
          </w:tcPr>
          <w:p w14:paraId="70CD3ECE" w14:textId="02656E66" w:rsidR="00662957" w:rsidRDefault="0046342C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-59162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>
              <w:rPr>
                <w:rFonts w:eastAsia="CG Omega" w:cs="Arial"/>
                <w:sz w:val="18"/>
                <w:szCs w:val="18"/>
              </w:rPr>
              <w:t xml:space="preserve"> Yes</w:t>
            </w:r>
          </w:p>
          <w:p w14:paraId="0CEF55D5" w14:textId="3AAD83B2" w:rsidR="00662957" w:rsidRDefault="0046342C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-65637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>
              <w:rPr>
                <w:rFonts w:eastAsia="CG Omega" w:cs="Arial"/>
                <w:sz w:val="18"/>
                <w:szCs w:val="18"/>
              </w:rPr>
              <w:t xml:space="preserve"> No</w:t>
            </w:r>
          </w:p>
        </w:tc>
        <w:tc>
          <w:tcPr>
            <w:tcW w:w="2880" w:type="dxa"/>
          </w:tcPr>
          <w:p w14:paraId="54BC7C8F" w14:textId="77777777" w:rsidR="00662957" w:rsidRPr="00701682" w:rsidRDefault="00662957" w:rsidP="009F0C47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662957" w:rsidRPr="00701682" w14:paraId="63536DFC" w14:textId="77777777" w:rsidTr="009F0C47">
        <w:tc>
          <w:tcPr>
            <w:tcW w:w="4926" w:type="dxa"/>
          </w:tcPr>
          <w:p w14:paraId="3F846BA2" w14:textId="5189A611" w:rsidR="00662957" w:rsidRDefault="00662957" w:rsidP="00662957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Has management held discussions with third parties about exposures and the third parties’ transition plans and progress?</w:t>
            </w:r>
          </w:p>
        </w:tc>
        <w:tc>
          <w:tcPr>
            <w:tcW w:w="1554" w:type="dxa"/>
          </w:tcPr>
          <w:p w14:paraId="562209F4" w14:textId="5DA6D8C2" w:rsidR="00662957" w:rsidRDefault="0046342C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-25597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>
              <w:rPr>
                <w:rFonts w:eastAsia="CG Omega" w:cs="Arial"/>
                <w:sz w:val="18"/>
                <w:szCs w:val="18"/>
              </w:rPr>
              <w:t xml:space="preserve"> Yes</w:t>
            </w:r>
          </w:p>
          <w:p w14:paraId="72E4C941" w14:textId="0B2B2C4D" w:rsidR="00662957" w:rsidRDefault="0046342C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130288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>
              <w:rPr>
                <w:rFonts w:eastAsia="CG Omega" w:cs="Arial"/>
                <w:sz w:val="18"/>
                <w:szCs w:val="18"/>
              </w:rPr>
              <w:t xml:space="preserve"> No</w:t>
            </w:r>
          </w:p>
        </w:tc>
        <w:tc>
          <w:tcPr>
            <w:tcW w:w="2880" w:type="dxa"/>
          </w:tcPr>
          <w:p w14:paraId="4E09A6DE" w14:textId="77777777" w:rsidR="00662957" w:rsidRPr="00701682" w:rsidRDefault="00662957" w:rsidP="009F0C47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662957" w:rsidRPr="00701682" w14:paraId="37366AEF" w14:textId="77777777" w:rsidTr="009F0C47">
        <w:tc>
          <w:tcPr>
            <w:tcW w:w="4926" w:type="dxa"/>
          </w:tcPr>
          <w:p w14:paraId="12AF4680" w14:textId="7A5A65C0" w:rsidR="00662957" w:rsidRPr="008A63D7" w:rsidRDefault="00662957" w:rsidP="00662957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="Arial"/>
                <w:sz w:val="18"/>
                <w:szCs w:val="18"/>
              </w:rPr>
            </w:pPr>
            <w:r w:rsidRPr="0086656E">
              <w:rPr>
                <w:rFonts w:cs="Arial"/>
                <w:sz w:val="18"/>
                <w:szCs w:val="18"/>
              </w:rPr>
              <w:t xml:space="preserve">Has management performed a </w:t>
            </w:r>
            <w:r w:rsidR="00332607">
              <w:rPr>
                <w:rFonts w:cs="Arial"/>
                <w:sz w:val="18"/>
                <w:szCs w:val="18"/>
              </w:rPr>
              <w:t>LIBOR</w:t>
            </w:r>
            <w:r w:rsidRPr="0086656E">
              <w:rPr>
                <w:rFonts w:cs="Arial"/>
                <w:sz w:val="18"/>
                <w:szCs w:val="18"/>
              </w:rPr>
              <w:t xml:space="preserve"> risk assessment that covers applicable risk areas</w:t>
            </w:r>
            <w:r>
              <w:rPr>
                <w:rFonts w:cs="Arial"/>
                <w:sz w:val="18"/>
                <w:szCs w:val="18"/>
              </w:rPr>
              <w:t>,</w:t>
            </w:r>
            <w:r w:rsidRPr="0086656E">
              <w:rPr>
                <w:rFonts w:cs="Arial"/>
                <w:sz w:val="18"/>
                <w:szCs w:val="18"/>
              </w:rPr>
              <w:t xml:space="preserve"> such as compliance (including legal and consumer harm), operational, reputation, and strategic?</w:t>
            </w:r>
          </w:p>
        </w:tc>
        <w:tc>
          <w:tcPr>
            <w:tcW w:w="1554" w:type="dxa"/>
          </w:tcPr>
          <w:p w14:paraId="693049D4" w14:textId="773FFC98" w:rsidR="00662957" w:rsidRDefault="0046342C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200477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>
              <w:rPr>
                <w:rFonts w:eastAsia="CG Omega" w:cs="Arial"/>
                <w:sz w:val="18"/>
                <w:szCs w:val="18"/>
              </w:rPr>
              <w:t xml:space="preserve"> Yes</w:t>
            </w:r>
          </w:p>
          <w:p w14:paraId="7C8D4618" w14:textId="0B00DDBB" w:rsidR="00662957" w:rsidRPr="00701682" w:rsidRDefault="0046342C" w:rsidP="009F0C47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59298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>
              <w:rPr>
                <w:rFonts w:eastAsia="CG Omega" w:cs="Arial"/>
                <w:sz w:val="18"/>
                <w:szCs w:val="18"/>
              </w:rPr>
              <w:t xml:space="preserve"> No</w:t>
            </w:r>
          </w:p>
        </w:tc>
        <w:tc>
          <w:tcPr>
            <w:tcW w:w="2880" w:type="dxa"/>
          </w:tcPr>
          <w:p w14:paraId="52C6FF21" w14:textId="77777777" w:rsidR="00662957" w:rsidRPr="00701682" w:rsidRDefault="00662957" w:rsidP="009F0C47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662957" w:rsidRPr="00701682" w14:paraId="6776A822" w14:textId="77777777" w:rsidTr="009F0C47">
        <w:tc>
          <w:tcPr>
            <w:tcW w:w="4926" w:type="dxa"/>
          </w:tcPr>
          <w:p w14:paraId="3DB1136A" w14:textId="3E08BA60" w:rsidR="00662957" w:rsidRPr="0086656E" w:rsidRDefault="00662957" w:rsidP="00662957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eastAsia="CG Omega" w:cs="Arial"/>
                <w:sz w:val="18"/>
                <w:szCs w:val="18"/>
              </w:rPr>
              <w:t>Did</w:t>
            </w:r>
            <w:r w:rsidRPr="00D477AD">
              <w:rPr>
                <w:rFonts w:eastAsia="CG Omega" w:cs="Arial"/>
                <w:sz w:val="18"/>
                <w:szCs w:val="18"/>
              </w:rPr>
              <w:t xml:space="preserve"> management assess the potential impact(s) to the bank’s customers?</w:t>
            </w:r>
          </w:p>
        </w:tc>
        <w:tc>
          <w:tcPr>
            <w:tcW w:w="1554" w:type="dxa"/>
          </w:tcPr>
          <w:p w14:paraId="4D429303" w14:textId="270B547B" w:rsidR="00662957" w:rsidRDefault="0046342C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173380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>
              <w:rPr>
                <w:rFonts w:eastAsia="CG Omega" w:cs="Arial"/>
                <w:sz w:val="18"/>
                <w:szCs w:val="18"/>
              </w:rPr>
              <w:t xml:space="preserve"> Yes</w:t>
            </w:r>
          </w:p>
          <w:p w14:paraId="0E0EBB33" w14:textId="626BA378" w:rsidR="00662957" w:rsidRDefault="0046342C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54526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>
              <w:rPr>
                <w:rFonts w:eastAsia="CG Omega" w:cs="Arial"/>
                <w:sz w:val="18"/>
                <w:szCs w:val="18"/>
              </w:rPr>
              <w:t xml:space="preserve"> No</w:t>
            </w:r>
          </w:p>
        </w:tc>
        <w:tc>
          <w:tcPr>
            <w:tcW w:w="2880" w:type="dxa"/>
          </w:tcPr>
          <w:p w14:paraId="66305696" w14:textId="77777777" w:rsidR="00662957" w:rsidRPr="00701682" w:rsidRDefault="00662957" w:rsidP="009F0C47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662957" w:rsidRPr="00701682" w14:paraId="109BE779" w14:textId="77777777" w:rsidTr="009F0C47">
        <w:tc>
          <w:tcPr>
            <w:tcW w:w="4926" w:type="dxa"/>
          </w:tcPr>
          <w:p w14:paraId="4E1D12EB" w14:textId="77777777" w:rsidR="00662957" w:rsidRPr="008A63D7" w:rsidRDefault="00662957" w:rsidP="00662957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="Arial"/>
                <w:sz w:val="18"/>
                <w:szCs w:val="18"/>
              </w:rPr>
            </w:pPr>
            <w:r w:rsidRPr="0086656E">
              <w:rPr>
                <w:rFonts w:cs="Arial"/>
                <w:sz w:val="18"/>
                <w:szCs w:val="18"/>
              </w:rPr>
              <w:t>Does the bank’s preparedness plan include appropriate strategies to inventory, analyze, and assess the risk associated with new and existing contracts?</w:t>
            </w:r>
            <w:r>
              <w:rPr>
                <w:rFonts w:cs="Arial"/>
                <w:sz w:val="18"/>
                <w:szCs w:val="18"/>
              </w:rPr>
              <w:t xml:space="preserve"> Do strategies </w:t>
            </w:r>
            <w:r w:rsidRPr="0086656E">
              <w:rPr>
                <w:rFonts w:cs="Arial"/>
                <w:sz w:val="18"/>
                <w:szCs w:val="18"/>
              </w:rPr>
              <w:t>include assessing the adequacy of fallback language in new and existing contracts</w:t>
            </w:r>
            <w:r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1554" w:type="dxa"/>
          </w:tcPr>
          <w:p w14:paraId="4C6B90CB" w14:textId="73B936AB" w:rsidR="00662957" w:rsidRDefault="0046342C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63228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>
              <w:rPr>
                <w:rFonts w:eastAsia="CG Omega" w:cs="Arial"/>
                <w:sz w:val="18"/>
                <w:szCs w:val="18"/>
              </w:rPr>
              <w:t xml:space="preserve"> Yes</w:t>
            </w:r>
          </w:p>
          <w:p w14:paraId="559EAA44" w14:textId="4379CD68" w:rsidR="00662957" w:rsidRPr="00701682" w:rsidRDefault="0046342C" w:rsidP="009F0C47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-187136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>
              <w:rPr>
                <w:rFonts w:eastAsia="CG Omega" w:cs="Arial"/>
                <w:sz w:val="18"/>
                <w:szCs w:val="18"/>
              </w:rPr>
              <w:t xml:space="preserve"> No</w:t>
            </w:r>
          </w:p>
        </w:tc>
        <w:tc>
          <w:tcPr>
            <w:tcW w:w="2880" w:type="dxa"/>
          </w:tcPr>
          <w:p w14:paraId="42F6C978" w14:textId="77777777" w:rsidR="00662957" w:rsidRPr="00701682" w:rsidRDefault="00662957" w:rsidP="009F0C47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662957" w:rsidRPr="00701682" w14:paraId="0E022B7E" w14:textId="77777777" w:rsidTr="009F0C47">
        <w:tc>
          <w:tcPr>
            <w:tcW w:w="4926" w:type="dxa"/>
          </w:tcPr>
          <w:p w14:paraId="480BCF7E" w14:textId="3A00A58D" w:rsidR="00662957" w:rsidRPr="009D16B0" w:rsidRDefault="00662957" w:rsidP="00662957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eastAsia="CG Omega" w:cs="Arial"/>
                <w:sz w:val="18"/>
                <w:szCs w:val="18"/>
              </w:rPr>
            </w:pPr>
            <w:r w:rsidRPr="00813CF3">
              <w:rPr>
                <w:rFonts w:cs="Arial"/>
                <w:sz w:val="18"/>
                <w:szCs w:val="18"/>
              </w:rPr>
              <w:t xml:space="preserve">Does the bank’s preparedness plan consider limiting exposure by discontinuing the origination or purchase of </w:t>
            </w:r>
            <w:r w:rsidR="00332607">
              <w:rPr>
                <w:rFonts w:cs="Arial"/>
                <w:sz w:val="18"/>
                <w:szCs w:val="18"/>
              </w:rPr>
              <w:t>LIBOR</w:t>
            </w:r>
            <w:r w:rsidRPr="00813CF3">
              <w:rPr>
                <w:rFonts w:cs="Arial"/>
                <w:sz w:val="18"/>
                <w:szCs w:val="18"/>
              </w:rPr>
              <w:t>-indexed instruments?</w:t>
            </w:r>
          </w:p>
        </w:tc>
        <w:tc>
          <w:tcPr>
            <w:tcW w:w="1554" w:type="dxa"/>
          </w:tcPr>
          <w:p w14:paraId="0823FA01" w14:textId="05F64591" w:rsidR="00662957" w:rsidRDefault="0046342C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-85303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>
              <w:rPr>
                <w:rFonts w:eastAsia="CG Omega" w:cs="Arial"/>
                <w:sz w:val="18"/>
                <w:szCs w:val="18"/>
              </w:rPr>
              <w:t xml:space="preserve"> Yes</w:t>
            </w:r>
          </w:p>
          <w:p w14:paraId="673ABB0C" w14:textId="4E4A6CEE" w:rsidR="00662957" w:rsidRDefault="0046342C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183433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>
              <w:rPr>
                <w:rFonts w:eastAsia="CG Omega" w:cs="Arial"/>
                <w:sz w:val="18"/>
                <w:szCs w:val="18"/>
              </w:rPr>
              <w:t xml:space="preserve"> No</w:t>
            </w:r>
          </w:p>
        </w:tc>
        <w:tc>
          <w:tcPr>
            <w:tcW w:w="2880" w:type="dxa"/>
          </w:tcPr>
          <w:p w14:paraId="5326AE86" w14:textId="77777777" w:rsidR="00662957" w:rsidRPr="00701682" w:rsidRDefault="00662957" w:rsidP="009F0C47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8C0896">
              <w:t xml:space="preserve"> </w:t>
            </w:r>
          </w:p>
        </w:tc>
      </w:tr>
      <w:tr w:rsidR="00662957" w:rsidRPr="00701682" w14:paraId="4CB5BE6F" w14:textId="77777777" w:rsidTr="009F0C47">
        <w:tc>
          <w:tcPr>
            <w:tcW w:w="4926" w:type="dxa"/>
          </w:tcPr>
          <w:p w14:paraId="044B27F7" w14:textId="05CA54A9" w:rsidR="00662957" w:rsidRPr="0086656E" w:rsidRDefault="00662957" w:rsidP="00662957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eastAsia="CG Omega" w:cs="Arial"/>
                <w:sz w:val="18"/>
                <w:szCs w:val="18"/>
              </w:rPr>
              <w:t>Did</w:t>
            </w:r>
            <w:r w:rsidRPr="00700E5F">
              <w:rPr>
                <w:rFonts w:eastAsia="CG Omega" w:cs="Arial"/>
                <w:sz w:val="18"/>
                <w:szCs w:val="18"/>
              </w:rPr>
              <w:t xml:space="preserve"> management develop appropriate plans to identify, monitor, and resolve system and infrastructure constraints</w:t>
            </w:r>
            <w:r>
              <w:rPr>
                <w:rFonts w:eastAsia="CG Omega" w:cs="Arial"/>
                <w:sz w:val="18"/>
                <w:szCs w:val="18"/>
              </w:rPr>
              <w:t xml:space="preserve"> (e.g., the ability of a system to handle compounding in arrears if the bank is electing to use the </w:t>
            </w:r>
            <w:r w:rsidRPr="00900DF6">
              <w:rPr>
                <w:rFonts w:eastAsia="CG Omega" w:cs="Arial"/>
                <w:sz w:val="18"/>
                <w:szCs w:val="18"/>
              </w:rPr>
              <w:t>Secured Overnight Financing Rate</w:t>
            </w:r>
            <w:r>
              <w:rPr>
                <w:rFonts w:eastAsia="CG Omega" w:cs="Arial"/>
                <w:sz w:val="18"/>
                <w:szCs w:val="18"/>
              </w:rPr>
              <w:t>)</w:t>
            </w:r>
            <w:r w:rsidRPr="00700E5F">
              <w:rPr>
                <w:rFonts w:eastAsia="CG Omega" w:cs="Arial"/>
                <w:sz w:val="18"/>
                <w:szCs w:val="18"/>
              </w:rPr>
              <w:t>?</w:t>
            </w:r>
          </w:p>
        </w:tc>
        <w:tc>
          <w:tcPr>
            <w:tcW w:w="1554" w:type="dxa"/>
          </w:tcPr>
          <w:p w14:paraId="5248E221" w14:textId="089E8988" w:rsidR="00662957" w:rsidRDefault="0046342C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101242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>
              <w:rPr>
                <w:rFonts w:eastAsia="CG Omega" w:cs="Arial"/>
                <w:sz w:val="18"/>
                <w:szCs w:val="18"/>
              </w:rPr>
              <w:t xml:space="preserve"> Yes</w:t>
            </w:r>
          </w:p>
          <w:p w14:paraId="5117FD0E" w14:textId="3CD8D92E" w:rsidR="00662957" w:rsidRDefault="0046342C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-15739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>
              <w:rPr>
                <w:rFonts w:eastAsia="CG Omega" w:cs="Arial"/>
                <w:sz w:val="18"/>
                <w:szCs w:val="18"/>
              </w:rPr>
              <w:t xml:space="preserve"> No</w:t>
            </w:r>
          </w:p>
        </w:tc>
        <w:tc>
          <w:tcPr>
            <w:tcW w:w="2880" w:type="dxa"/>
          </w:tcPr>
          <w:p w14:paraId="2053DF99" w14:textId="77777777" w:rsidR="00662957" w:rsidRPr="00701682" w:rsidRDefault="00662957" w:rsidP="009F0C47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662957" w:rsidRPr="00701682" w14:paraId="121723B9" w14:textId="77777777" w:rsidTr="009F0C47">
        <w:tc>
          <w:tcPr>
            <w:tcW w:w="4926" w:type="dxa"/>
          </w:tcPr>
          <w:p w14:paraId="73577798" w14:textId="35EB67D5" w:rsidR="00662957" w:rsidRPr="00700E5F" w:rsidRDefault="00662957" w:rsidP="00662957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eastAsia="CG Omega" w:cs="Arial"/>
                <w:sz w:val="18"/>
                <w:szCs w:val="18"/>
              </w:rPr>
            </w:pPr>
            <w:r>
              <w:rPr>
                <w:rFonts w:eastAsia="CG Omega" w:cs="Arial"/>
                <w:sz w:val="18"/>
                <w:szCs w:val="18"/>
              </w:rPr>
              <w:t>Did</w:t>
            </w:r>
            <w:r w:rsidRPr="00D477AD">
              <w:rPr>
                <w:rFonts w:eastAsia="CG Omega" w:cs="Arial"/>
                <w:sz w:val="18"/>
                <w:szCs w:val="18"/>
              </w:rPr>
              <w:t xml:space="preserve"> management</w:t>
            </w:r>
            <w:r>
              <w:rPr>
                <w:rFonts w:eastAsia="CG Omega" w:cs="Arial"/>
                <w:sz w:val="18"/>
                <w:szCs w:val="18"/>
              </w:rPr>
              <w:t xml:space="preserve"> develop strategies to address third-party risk management issues? </w:t>
            </w:r>
          </w:p>
        </w:tc>
        <w:tc>
          <w:tcPr>
            <w:tcW w:w="1554" w:type="dxa"/>
          </w:tcPr>
          <w:p w14:paraId="7D940929" w14:textId="54115255" w:rsidR="00662957" w:rsidRDefault="0046342C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-202971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>
              <w:rPr>
                <w:rFonts w:eastAsia="CG Omega" w:cs="Arial"/>
                <w:sz w:val="18"/>
                <w:szCs w:val="18"/>
              </w:rPr>
              <w:t xml:space="preserve"> Yes</w:t>
            </w:r>
          </w:p>
          <w:p w14:paraId="33306F58" w14:textId="7640060C" w:rsidR="00662957" w:rsidRDefault="0046342C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47642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>
              <w:rPr>
                <w:rFonts w:eastAsia="CG Omega" w:cs="Arial"/>
                <w:sz w:val="18"/>
                <w:szCs w:val="18"/>
              </w:rPr>
              <w:t xml:space="preserve"> No</w:t>
            </w:r>
          </w:p>
        </w:tc>
        <w:tc>
          <w:tcPr>
            <w:tcW w:w="2880" w:type="dxa"/>
          </w:tcPr>
          <w:p w14:paraId="642C49C6" w14:textId="77777777" w:rsidR="00662957" w:rsidRPr="00701682" w:rsidRDefault="00662957" w:rsidP="009F0C47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662957" w:rsidRPr="00701682" w14:paraId="0C84A13B" w14:textId="77777777" w:rsidTr="009F0C47">
        <w:tc>
          <w:tcPr>
            <w:tcW w:w="4926" w:type="dxa"/>
          </w:tcPr>
          <w:p w14:paraId="1CC22E2D" w14:textId="130ACC33" w:rsidR="00662957" w:rsidRPr="00D477AD" w:rsidRDefault="00662957" w:rsidP="00662957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eastAsia="CG Omega" w:cs="Arial"/>
                <w:sz w:val="18"/>
                <w:szCs w:val="18"/>
              </w:rPr>
            </w:pPr>
            <w:r>
              <w:rPr>
                <w:rFonts w:eastAsia="CG Omega" w:cs="Arial"/>
                <w:sz w:val="18"/>
                <w:szCs w:val="18"/>
              </w:rPr>
              <w:t>Did</w:t>
            </w:r>
            <w:r w:rsidRPr="00D477AD">
              <w:rPr>
                <w:rFonts w:eastAsia="CG Omega" w:cs="Arial"/>
                <w:sz w:val="18"/>
                <w:szCs w:val="18"/>
              </w:rPr>
              <w:t xml:space="preserve"> management assess the potential financial impacts</w:t>
            </w:r>
            <w:r>
              <w:rPr>
                <w:rFonts w:eastAsia="CG Omega" w:cs="Arial"/>
                <w:sz w:val="18"/>
                <w:szCs w:val="18"/>
              </w:rPr>
              <w:t>, both balance sheet and earnings,</w:t>
            </w:r>
            <w:r w:rsidRPr="00D477AD">
              <w:rPr>
                <w:rFonts w:eastAsia="CG Omega" w:cs="Arial"/>
                <w:sz w:val="18"/>
                <w:szCs w:val="18"/>
              </w:rPr>
              <w:t xml:space="preserve"> from </w:t>
            </w:r>
            <w:r w:rsidR="00332607">
              <w:rPr>
                <w:rFonts w:eastAsia="CG Omega" w:cs="Arial"/>
                <w:sz w:val="18"/>
                <w:szCs w:val="18"/>
              </w:rPr>
              <w:t>LIBOR</w:t>
            </w:r>
            <w:r w:rsidRPr="00D477AD">
              <w:rPr>
                <w:rFonts w:eastAsia="CG Omega" w:cs="Arial"/>
                <w:sz w:val="18"/>
                <w:szCs w:val="18"/>
              </w:rPr>
              <w:t xml:space="preserve"> transition and develop plans to manage and mitigate the risks accordingly?</w:t>
            </w:r>
          </w:p>
        </w:tc>
        <w:tc>
          <w:tcPr>
            <w:tcW w:w="1554" w:type="dxa"/>
          </w:tcPr>
          <w:p w14:paraId="60723024" w14:textId="5D4F8BED" w:rsidR="00662957" w:rsidRDefault="0046342C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-115005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>
              <w:rPr>
                <w:rFonts w:eastAsia="CG Omega" w:cs="Arial"/>
                <w:sz w:val="18"/>
                <w:szCs w:val="18"/>
              </w:rPr>
              <w:t xml:space="preserve"> Yes</w:t>
            </w:r>
          </w:p>
          <w:p w14:paraId="17ADACF9" w14:textId="482D52C2" w:rsidR="00662957" w:rsidRDefault="0046342C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-161937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>
              <w:rPr>
                <w:rFonts w:eastAsia="CG Omega" w:cs="Arial"/>
                <w:sz w:val="18"/>
                <w:szCs w:val="18"/>
              </w:rPr>
              <w:t xml:space="preserve"> No</w:t>
            </w:r>
          </w:p>
        </w:tc>
        <w:tc>
          <w:tcPr>
            <w:tcW w:w="2880" w:type="dxa"/>
          </w:tcPr>
          <w:p w14:paraId="7CD18267" w14:textId="77777777" w:rsidR="00662957" w:rsidRPr="00701682" w:rsidRDefault="00662957" w:rsidP="009F0C47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662957" w:rsidRPr="00701682" w14:paraId="63B3530D" w14:textId="77777777" w:rsidTr="00644B6E">
        <w:trPr>
          <w:cantSplit/>
          <w:trHeight w:val="260"/>
        </w:trPr>
        <w:tc>
          <w:tcPr>
            <w:tcW w:w="4926" w:type="dxa"/>
          </w:tcPr>
          <w:p w14:paraId="572A18FE" w14:textId="59F03E18" w:rsidR="00662957" w:rsidRPr="00703960" w:rsidRDefault="00662957" w:rsidP="00662957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="Arial"/>
                <w:sz w:val="18"/>
                <w:szCs w:val="18"/>
              </w:rPr>
            </w:pPr>
            <w:r w:rsidRPr="0086656E">
              <w:rPr>
                <w:rFonts w:cs="Arial"/>
                <w:sz w:val="18"/>
                <w:szCs w:val="18"/>
              </w:rPr>
              <w:lastRenderedPageBreak/>
              <w:t xml:space="preserve">Is the formality of the plan commensurate with the size and complexity of the bank’s </w:t>
            </w:r>
            <w:r w:rsidR="00332607">
              <w:rPr>
                <w:rFonts w:cs="Arial"/>
                <w:sz w:val="18"/>
                <w:szCs w:val="18"/>
              </w:rPr>
              <w:t>LIBOR</w:t>
            </w:r>
            <w:r w:rsidRPr="0086656E">
              <w:rPr>
                <w:rFonts w:cs="Arial"/>
                <w:sz w:val="18"/>
                <w:szCs w:val="18"/>
              </w:rPr>
              <w:t xml:space="preserve"> exposures?</w:t>
            </w:r>
          </w:p>
        </w:tc>
        <w:tc>
          <w:tcPr>
            <w:tcW w:w="1554" w:type="dxa"/>
          </w:tcPr>
          <w:p w14:paraId="050DA9D6" w14:textId="449EEDE9" w:rsidR="00662957" w:rsidRDefault="0046342C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-47421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>
              <w:rPr>
                <w:rFonts w:eastAsia="CG Omega" w:cs="Arial"/>
                <w:sz w:val="18"/>
                <w:szCs w:val="18"/>
              </w:rPr>
              <w:t xml:space="preserve"> Yes</w:t>
            </w:r>
          </w:p>
          <w:p w14:paraId="783916E2" w14:textId="22828013" w:rsidR="00662957" w:rsidRPr="00701682" w:rsidRDefault="0046342C" w:rsidP="009F0C47">
            <w:pPr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116852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>
              <w:rPr>
                <w:rFonts w:eastAsia="CG Omega" w:cs="Arial"/>
                <w:sz w:val="18"/>
                <w:szCs w:val="18"/>
              </w:rPr>
              <w:t xml:space="preserve"> No</w:t>
            </w:r>
          </w:p>
        </w:tc>
        <w:tc>
          <w:tcPr>
            <w:tcW w:w="2880" w:type="dxa"/>
          </w:tcPr>
          <w:p w14:paraId="412FD962" w14:textId="77777777" w:rsidR="00662957" w:rsidRPr="00701682" w:rsidRDefault="00662957" w:rsidP="009F0C47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662957" w:rsidRPr="00701682" w14:paraId="37220FBB" w14:textId="77777777" w:rsidTr="009F0C47">
        <w:tc>
          <w:tcPr>
            <w:tcW w:w="4926" w:type="dxa"/>
          </w:tcPr>
          <w:p w14:paraId="7185FA61" w14:textId="641DA1A2" w:rsidR="00662957" w:rsidRPr="00CC575C" w:rsidRDefault="00662957" w:rsidP="00662957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eastAsia="CG Omega" w:cs="Arial"/>
                <w:sz w:val="18"/>
                <w:szCs w:val="18"/>
              </w:rPr>
            </w:pPr>
            <w:r w:rsidRPr="0086656E">
              <w:rPr>
                <w:rFonts w:eastAsia="CG Omega" w:cs="Arial"/>
                <w:sz w:val="18"/>
                <w:szCs w:val="18"/>
              </w:rPr>
              <w:t>Did all relevant parties have input into the plan</w:t>
            </w:r>
            <w:r>
              <w:rPr>
                <w:rFonts w:eastAsia="CG Omega" w:cs="Arial"/>
                <w:sz w:val="18"/>
                <w:szCs w:val="18"/>
              </w:rPr>
              <w:t xml:space="preserve"> (e.g., legal, treasury, accounting, compliance, operations/information technology)</w:t>
            </w:r>
            <w:r w:rsidRPr="0086656E">
              <w:rPr>
                <w:rFonts w:eastAsia="CG Omega" w:cs="Arial"/>
                <w:sz w:val="18"/>
                <w:szCs w:val="18"/>
              </w:rPr>
              <w:t>?</w:t>
            </w:r>
          </w:p>
        </w:tc>
        <w:tc>
          <w:tcPr>
            <w:tcW w:w="1554" w:type="dxa"/>
          </w:tcPr>
          <w:p w14:paraId="3BE34137" w14:textId="5C63B70B" w:rsidR="00662957" w:rsidRDefault="0046342C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-167371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>
              <w:rPr>
                <w:rFonts w:eastAsia="CG Omega" w:cs="Arial"/>
                <w:sz w:val="18"/>
                <w:szCs w:val="18"/>
              </w:rPr>
              <w:t xml:space="preserve"> Yes</w:t>
            </w:r>
          </w:p>
          <w:p w14:paraId="1849BD10" w14:textId="7A1EB0DB" w:rsidR="00662957" w:rsidRPr="00701682" w:rsidRDefault="0046342C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37474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>
              <w:rPr>
                <w:rFonts w:eastAsia="CG Omega" w:cs="Arial"/>
                <w:sz w:val="18"/>
                <w:szCs w:val="18"/>
              </w:rPr>
              <w:t xml:space="preserve"> No</w:t>
            </w:r>
          </w:p>
        </w:tc>
        <w:tc>
          <w:tcPr>
            <w:tcW w:w="2880" w:type="dxa"/>
          </w:tcPr>
          <w:p w14:paraId="5FE6DFBC" w14:textId="77777777" w:rsidR="00662957" w:rsidRPr="00701682" w:rsidRDefault="00662957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</w:p>
        </w:tc>
      </w:tr>
      <w:tr w:rsidR="00662957" w:rsidRPr="00701682" w14:paraId="62851E2C" w14:textId="77777777" w:rsidTr="009F0C47">
        <w:trPr>
          <w:trHeight w:val="647"/>
        </w:trPr>
        <w:tc>
          <w:tcPr>
            <w:tcW w:w="4926" w:type="dxa"/>
          </w:tcPr>
          <w:p w14:paraId="30C24A02" w14:textId="77777777" w:rsidR="00662957" w:rsidRPr="0086656E" w:rsidRDefault="00662957" w:rsidP="00662957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eastAsia="CG Omega" w:cs="Arial"/>
                <w:sz w:val="18"/>
                <w:szCs w:val="18"/>
              </w:rPr>
            </w:pPr>
            <w:r w:rsidRPr="0086656E">
              <w:rPr>
                <w:rFonts w:eastAsia="CG Omega" w:cs="Arial"/>
                <w:sz w:val="18"/>
                <w:szCs w:val="18"/>
              </w:rPr>
              <w:t>Does the plan establish reasonable time</w:t>
            </w:r>
            <w:r>
              <w:rPr>
                <w:rFonts w:eastAsia="CG Omega" w:cs="Arial"/>
                <w:sz w:val="18"/>
                <w:szCs w:val="18"/>
              </w:rPr>
              <w:t xml:space="preserve"> </w:t>
            </w:r>
            <w:r w:rsidRPr="0086656E">
              <w:rPr>
                <w:rFonts w:eastAsia="CG Omega" w:cs="Arial"/>
                <w:sz w:val="18"/>
                <w:szCs w:val="18"/>
              </w:rPr>
              <w:t xml:space="preserve">frames </w:t>
            </w:r>
            <w:r>
              <w:rPr>
                <w:rFonts w:eastAsia="CG Omega" w:cs="Arial"/>
                <w:sz w:val="18"/>
                <w:szCs w:val="18"/>
              </w:rPr>
              <w:t xml:space="preserve">for completing key activities </w:t>
            </w:r>
            <w:r w:rsidRPr="0086656E">
              <w:rPr>
                <w:rFonts w:eastAsia="CG Omega" w:cs="Arial"/>
                <w:sz w:val="18"/>
                <w:szCs w:val="18"/>
              </w:rPr>
              <w:t>and assig</w:t>
            </w:r>
            <w:r>
              <w:rPr>
                <w:rFonts w:eastAsia="CG Omega" w:cs="Arial"/>
                <w:sz w:val="18"/>
                <w:szCs w:val="18"/>
              </w:rPr>
              <w:t>ning</w:t>
            </w:r>
            <w:r w:rsidRPr="0086656E">
              <w:rPr>
                <w:rFonts w:eastAsia="CG Omega" w:cs="Arial"/>
                <w:sz w:val="18"/>
                <w:szCs w:val="18"/>
              </w:rPr>
              <w:t xml:space="preserve"> accountability for deliverables?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14:paraId="289DF6BC" w14:textId="4CF620FD" w:rsidR="00662957" w:rsidRDefault="0046342C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-122922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>
              <w:rPr>
                <w:rFonts w:eastAsia="CG Omega" w:cs="Arial"/>
                <w:sz w:val="18"/>
                <w:szCs w:val="18"/>
              </w:rPr>
              <w:t xml:space="preserve"> Yes</w:t>
            </w:r>
          </w:p>
          <w:p w14:paraId="4F0F5320" w14:textId="41D705E9" w:rsidR="00662957" w:rsidRPr="00701682" w:rsidRDefault="0046342C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70268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>
              <w:rPr>
                <w:rFonts w:eastAsia="CG Omega" w:cs="Arial"/>
                <w:sz w:val="18"/>
                <w:szCs w:val="18"/>
              </w:rPr>
              <w:t xml:space="preserve"> No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19F4E1BF" w14:textId="77777777" w:rsidR="00662957" w:rsidRPr="00701682" w:rsidRDefault="00662957" w:rsidP="009F0C47">
            <w:pPr>
              <w:spacing w:before="40" w:after="40"/>
              <w:rPr>
                <w:rFonts w:eastAsia="CG Omega" w:cs="Arial"/>
                <w:sz w:val="18"/>
                <w:szCs w:val="18"/>
                <w:highlight w:val="green"/>
              </w:rPr>
            </w:pPr>
          </w:p>
        </w:tc>
      </w:tr>
      <w:tr w:rsidR="00662957" w:rsidRPr="00701682" w14:paraId="33B3DBBC" w14:textId="77777777" w:rsidTr="009F0C47">
        <w:trPr>
          <w:trHeight w:val="494"/>
        </w:trPr>
        <w:tc>
          <w:tcPr>
            <w:tcW w:w="4926" w:type="dxa"/>
          </w:tcPr>
          <w:p w14:paraId="27E36A42" w14:textId="403C0026" w:rsidR="00662957" w:rsidRPr="00701682" w:rsidRDefault="00662957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r w:rsidRPr="00700E5F">
              <w:rPr>
                <w:rFonts w:eastAsia="CG Omega" w:cs="Arial"/>
                <w:b/>
                <w:bCs/>
                <w:sz w:val="18"/>
                <w:szCs w:val="18"/>
              </w:rPr>
              <w:t>Objective:</w:t>
            </w:r>
            <w:r w:rsidRPr="00700E5F">
              <w:rPr>
                <w:rFonts w:eastAsia="CG Omega" w:cs="Arial"/>
                <w:sz w:val="18"/>
                <w:szCs w:val="18"/>
              </w:rPr>
              <w:t xml:space="preserve"> Does the bank have </w:t>
            </w:r>
            <w:r>
              <w:rPr>
                <w:rFonts w:eastAsia="CG Omega" w:cs="Arial"/>
                <w:sz w:val="18"/>
                <w:szCs w:val="18"/>
              </w:rPr>
              <w:t>appropriate</w:t>
            </w:r>
            <w:r w:rsidRPr="00700E5F">
              <w:rPr>
                <w:rFonts w:eastAsia="CG Omega" w:cs="Arial"/>
                <w:sz w:val="18"/>
                <w:szCs w:val="18"/>
              </w:rPr>
              <w:t xml:space="preserve"> processes in place to </w:t>
            </w:r>
            <w:r>
              <w:rPr>
                <w:rFonts w:eastAsia="CG Omega" w:cs="Arial"/>
                <w:sz w:val="18"/>
                <w:szCs w:val="18"/>
              </w:rPr>
              <w:t>implement</w:t>
            </w:r>
            <w:r w:rsidRPr="00700E5F">
              <w:rPr>
                <w:rFonts w:eastAsia="CG Omega" w:cs="Arial"/>
                <w:sz w:val="18"/>
                <w:szCs w:val="18"/>
              </w:rPr>
              <w:t xml:space="preserve"> </w:t>
            </w:r>
            <w:r w:rsidR="00332607">
              <w:rPr>
                <w:rFonts w:eastAsia="CG Omega" w:cs="Arial"/>
                <w:sz w:val="18"/>
                <w:szCs w:val="18"/>
              </w:rPr>
              <w:t>LIBOR</w:t>
            </w:r>
            <w:r w:rsidRPr="00700E5F">
              <w:rPr>
                <w:rFonts w:eastAsia="CG Omega" w:cs="Arial"/>
                <w:sz w:val="18"/>
                <w:szCs w:val="18"/>
              </w:rPr>
              <w:t xml:space="preserve"> transition </w:t>
            </w:r>
            <w:r>
              <w:rPr>
                <w:rFonts w:eastAsia="CG Omega" w:cs="Arial"/>
                <w:sz w:val="18"/>
                <w:szCs w:val="18"/>
              </w:rPr>
              <w:t>plans</w:t>
            </w:r>
            <w:r w:rsidRPr="00700E5F">
              <w:rPr>
                <w:rFonts w:eastAsia="CG Omega" w:cs="Arial"/>
                <w:sz w:val="18"/>
                <w:szCs w:val="18"/>
              </w:rPr>
              <w:t>?</w:t>
            </w:r>
          </w:p>
        </w:tc>
        <w:tc>
          <w:tcPr>
            <w:tcW w:w="1554" w:type="dxa"/>
          </w:tcPr>
          <w:p w14:paraId="5A702B82" w14:textId="6813B116" w:rsidR="00662957" w:rsidRDefault="0046342C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-87685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>
              <w:rPr>
                <w:rFonts w:eastAsia="CG Omega" w:cs="Arial"/>
                <w:sz w:val="18"/>
                <w:szCs w:val="18"/>
              </w:rPr>
              <w:t xml:space="preserve"> Yes</w:t>
            </w:r>
          </w:p>
          <w:p w14:paraId="1C4209A6" w14:textId="7FA60707" w:rsidR="00662957" w:rsidRPr="00701682" w:rsidRDefault="0046342C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-32913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>
              <w:rPr>
                <w:rFonts w:eastAsia="CG Omega" w:cs="Arial"/>
                <w:sz w:val="18"/>
                <w:szCs w:val="18"/>
              </w:rPr>
              <w:t xml:space="preserve"> No</w:t>
            </w:r>
          </w:p>
        </w:tc>
        <w:tc>
          <w:tcPr>
            <w:tcW w:w="2880" w:type="dxa"/>
          </w:tcPr>
          <w:p w14:paraId="2C78DC9A" w14:textId="77777777" w:rsidR="00662957" w:rsidRPr="00701682" w:rsidRDefault="00662957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</w:p>
        </w:tc>
      </w:tr>
      <w:tr w:rsidR="00662957" w:rsidRPr="00701682" w14:paraId="38CCFBA8" w14:textId="77777777" w:rsidTr="009F0C47">
        <w:trPr>
          <w:trHeight w:val="494"/>
        </w:trPr>
        <w:tc>
          <w:tcPr>
            <w:tcW w:w="4926" w:type="dxa"/>
          </w:tcPr>
          <w:p w14:paraId="16018255" w14:textId="2ED1646B" w:rsidR="00662957" w:rsidRPr="00D477AD" w:rsidRDefault="00662957" w:rsidP="00662957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eastAsia="CG Omega" w:cs="Arial"/>
                <w:sz w:val="18"/>
                <w:szCs w:val="18"/>
              </w:rPr>
            </w:pPr>
            <w:r w:rsidRPr="00BF385F">
              <w:rPr>
                <w:rFonts w:eastAsia="CG Omega" w:cs="Arial"/>
                <w:sz w:val="18"/>
                <w:szCs w:val="18"/>
              </w:rPr>
              <w:t xml:space="preserve">Has the </w:t>
            </w:r>
            <w:r w:rsidR="00871ADF">
              <w:rPr>
                <w:rFonts w:eastAsia="CG Omega" w:cs="Arial"/>
                <w:sz w:val="18"/>
                <w:szCs w:val="18"/>
              </w:rPr>
              <w:t>management</w:t>
            </w:r>
            <w:r w:rsidR="00871ADF" w:rsidRPr="00BF385F">
              <w:rPr>
                <w:rFonts w:eastAsia="CG Omega" w:cs="Arial"/>
                <w:sz w:val="18"/>
                <w:szCs w:val="18"/>
              </w:rPr>
              <w:t xml:space="preserve"> </w:t>
            </w:r>
            <w:r>
              <w:rPr>
                <w:rFonts w:eastAsia="CG Omega" w:cs="Arial"/>
                <w:sz w:val="18"/>
                <w:szCs w:val="18"/>
              </w:rPr>
              <w:t>tasked</w:t>
            </w:r>
            <w:r w:rsidRPr="00BF385F">
              <w:rPr>
                <w:rFonts w:eastAsia="CG Omega" w:cs="Arial"/>
                <w:sz w:val="18"/>
                <w:szCs w:val="18"/>
              </w:rPr>
              <w:t xml:space="preserve"> an individual or committee/working group with the responsibility for coordinating and implementing the preparedness plan?</w:t>
            </w:r>
          </w:p>
        </w:tc>
        <w:tc>
          <w:tcPr>
            <w:tcW w:w="1554" w:type="dxa"/>
          </w:tcPr>
          <w:p w14:paraId="52F1B1D9" w14:textId="3E084DC5" w:rsidR="00662957" w:rsidRDefault="0046342C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-89303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>
              <w:rPr>
                <w:rFonts w:eastAsia="CG Omega" w:cs="Arial"/>
                <w:sz w:val="18"/>
                <w:szCs w:val="18"/>
              </w:rPr>
              <w:t xml:space="preserve"> Yes</w:t>
            </w:r>
          </w:p>
          <w:p w14:paraId="1D40A9CD" w14:textId="1AF0BDBF" w:rsidR="00662957" w:rsidRDefault="0046342C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-55740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>
              <w:rPr>
                <w:rFonts w:eastAsia="CG Omega" w:cs="Arial"/>
                <w:sz w:val="18"/>
                <w:szCs w:val="18"/>
              </w:rPr>
              <w:t xml:space="preserve"> No</w:t>
            </w:r>
          </w:p>
        </w:tc>
        <w:tc>
          <w:tcPr>
            <w:tcW w:w="2880" w:type="dxa"/>
          </w:tcPr>
          <w:p w14:paraId="54BEDA63" w14:textId="77777777" w:rsidR="00662957" w:rsidRPr="00701682" w:rsidRDefault="00662957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</w:p>
        </w:tc>
      </w:tr>
      <w:tr w:rsidR="00662957" w:rsidRPr="00701682" w14:paraId="42B07370" w14:textId="77777777" w:rsidTr="009F0C47">
        <w:trPr>
          <w:trHeight w:val="494"/>
        </w:trPr>
        <w:tc>
          <w:tcPr>
            <w:tcW w:w="4926" w:type="dxa"/>
          </w:tcPr>
          <w:p w14:paraId="2ADF20E4" w14:textId="6EBD6C0E" w:rsidR="00662957" w:rsidRPr="00D477AD" w:rsidRDefault="00662957" w:rsidP="00662957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eastAsia="CG Omega" w:cs="Arial"/>
                <w:sz w:val="18"/>
                <w:szCs w:val="18"/>
              </w:rPr>
            </w:pPr>
            <w:r>
              <w:rPr>
                <w:rFonts w:eastAsia="CG Omega" w:cs="Arial"/>
                <w:sz w:val="18"/>
                <w:szCs w:val="18"/>
              </w:rPr>
              <w:t>Does</w:t>
            </w:r>
            <w:r w:rsidRPr="00D477AD">
              <w:rPr>
                <w:rFonts w:eastAsia="CG Omega" w:cs="Arial"/>
                <w:sz w:val="18"/>
                <w:szCs w:val="18"/>
              </w:rPr>
              <w:t xml:space="preserve"> management </w:t>
            </w:r>
            <w:r>
              <w:rPr>
                <w:rFonts w:eastAsia="CG Omega" w:cs="Arial"/>
                <w:sz w:val="18"/>
                <w:szCs w:val="18"/>
              </w:rPr>
              <w:t xml:space="preserve">have </w:t>
            </w:r>
            <w:r w:rsidRPr="00D477AD">
              <w:rPr>
                <w:rFonts w:eastAsia="CG Omega" w:cs="Arial"/>
                <w:sz w:val="18"/>
                <w:szCs w:val="18"/>
              </w:rPr>
              <w:t>appropriate communication plans for engaging with affected customers and counterparties?</w:t>
            </w:r>
          </w:p>
        </w:tc>
        <w:tc>
          <w:tcPr>
            <w:tcW w:w="1554" w:type="dxa"/>
          </w:tcPr>
          <w:p w14:paraId="4CFDA1E5" w14:textId="077E8ADE" w:rsidR="00662957" w:rsidRDefault="0046342C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183934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>
              <w:rPr>
                <w:rFonts w:eastAsia="CG Omega" w:cs="Arial"/>
                <w:sz w:val="18"/>
                <w:szCs w:val="18"/>
              </w:rPr>
              <w:t xml:space="preserve"> Yes</w:t>
            </w:r>
          </w:p>
          <w:p w14:paraId="3938AA94" w14:textId="4B4D9E32" w:rsidR="00662957" w:rsidRDefault="0046342C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-54682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>
              <w:rPr>
                <w:rFonts w:eastAsia="CG Omega" w:cs="Arial"/>
                <w:sz w:val="18"/>
                <w:szCs w:val="18"/>
              </w:rPr>
              <w:t xml:space="preserve"> No</w:t>
            </w:r>
          </w:p>
        </w:tc>
        <w:tc>
          <w:tcPr>
            <w:tcW w:w="2880" w:type="dxa"/>
          </w:tcPr>
          <w:p w14:paraId="4DF4C82E" w14:textId="77777777" w:rsidR="00662957" w:rsidRPr="00701682" w:rsidRDefault="00662957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</w:p>
        </w:tc>
      </w:tr>
      <w:tr w:rsidR="00662957" w:rsidRPr="00701682" w14:paraId="4B856572" w14:textId="77777777" w:rsidTr="009F0C47">
        <w:trPr>
          <w:trHeight w:val="494"/>
        </w:trPr>
        <w:tc>
          <w:tcPr>
            <w:tcW w:w="4926" w:type="dxa"/>
          </w:tcPr>
          <w:p w14:paraId="06496AA7" w14:textId="5BBAFE37" w:rsidR="00662957" w:rsidRPr="00D477AD" w:rsidRDefault="00662957" w:rsidP="00662957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eastAsia="CG Omega" w:cs="Arial"/>
                <w:sz w:val="18"/>
                <w:szCs w:val="18"/>
              </w:rPr>
            </w:pPr>
            <w:r>
              <w:rPr>
                <w:rFonts w:eastAsia="CG Omega" w:cs="Arial"/>
                <w:sz w:val="18"/>
                <w:szCs w:val="18"/>
              </w:rPr>
              <w:t>Does</w:t>
            </w:r>
            <w:r w:rsidRPr="000C1C6C">
              <w:rPr>
                <w:rFonts w:eastAsia="CG Omega" w:cs="Arial"/>
                <w:sz w:val="18"/>
                <w:szCs w:val="18"/>
              </w:rPr>
              <w:t xml:space="preserve"> management </w:t>
            </w:r>
            <w:r>
              <w:rPr>
                <w:rFonts w:eastAsia="CG Omega" w:cs="Arial"/>
                <w:sz w:val="18"/>
                <w:szCs w:val="18"/>
              </w:rPr>
              <w:t>provide</w:t>
            </w:r>
            <w:r w:rsidRPr="000C1C6C">
              <w:rPr>
                <w:rFonts w:eastAsia="CG Omega" w:cs="Arial"/>
                <w:sz w:val="18"/>
                <w:szCs w:val="18"/>
              </w:rPr>
              <w:t xml:space="preserve"> accurate</w:t>
            </w:r>
            <w:r>
              <w:rPr>
                <w:rFonts w:eastAsia="CG Omega" w:cs="Arial"/>
                <w:sz w:val="18"/>
                <w:szCs w:val="18"/>
              </w:rPr>
              <w:t>, timely, and complete</w:t>
            </w:r>
            <w:r w:rsidRPr="000C1C6C">
              <w:rPr>
                <w:rFonts w:eastAsia="CG Omega" w:cs="Arial"/>
                <w:sz w:val="18"/>
                <w:szCs w:val="18"/>
              </w:rPr>
              <w:t xml:space="preserve"> reports </w:t>
            </w:r>
            <w:r>
              <w:rPr>
                <w:rFonts w:eastAsia="CG Omega" w:cs="Arial"/>
                <w:sz w:val="18"/>
                <w:szCs w:val="18"/>
              </w:rPr>
              <w:t>to</w:t>
            </w:r>
            <w:r w:rsidRPr="000C1C6C">
              <w:rPr>
                <w:rFonts w:eastAsia="CG Omega" w:cs="Arial"/>
                <w:sz w:val="18"/>
                <w:szCs w:val="18"/>
              </w:rPr>
              <w:t xml:space="preserve"> senior management and the board to monitor progress in implementing the transition plan (e.g., reports that monitor progress and challenges in renegotiating existing contracts)?</w:t>
            </w:r>
          </w:p>
        </w:tc>
        <w:tc>
          <w:tcPr>
            <w:tcW w:w="1554" w:type="dxa"/>
          </w:tcPr>
          <w:p w14:paraId="498D4FC6" w14:textId="21B39B55" w:rsidR="00662957" w:rsidRPr="000C1C6C" w:rsidRDefault="0046342C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-82343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 w:rsidRPr="000C1C6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 w:rsidRPr="000C1C6C">
              <w:rPr>
                <w:rFonts w:eastAsia="CG Omega" w:cs="Arial"/>
                <w:sz w:val="18"/>
                <w:szCs w:val="18"/>
              </w:rPr>
              <w:t xml:space="preserve"> Yes</w:t>
            </w:r>
          </w:p>
          <w:p w14:paraId="4D3A473B" w14:textId="053E32C7" w:rsidR="00662957" w:rsidRDefault="0046342C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-110002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 w:rsidRPr="000C1C6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 w:rsidRPr="000C1C6C">
              <w:rPr>
                <w:rFonts w:eastAsia="CG Omega" w:cs="Arial"/>
                <w:sz w:val="18"/>
                <w:szCs w:val="18"/>
              </w:rPr>
              <w:t xml:space="preserve"> No</w:t>
            </w:r>
          </w:p>
        </w:tc>
        <w:tc>
          <w:tcPr>
            <w:tcW w:w="2880" w:type="dxa"/>
          </w:tcPr>
          <w:p w14:paraId="4FCB7647" w14:textId="77777777" w:rsidR="00662957" w:rsidRPr="00701682" w:rsidRDefault="00662957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</w:p>
        </w:tc>
      </w:tr>
      <w:tr w:rsidR="00662957" w:rsidRPr="00701682" w14:paraId="2D8CFEBA" w14:textId="77777777" w:rsidTr="009F0C47">
        <w:trPr>
          <w:trHeight w:val="548"/>
        </w:trPr>
        <w:tc>
          <w:tcPr>
            <w:tcW w:w="4926" w:type="dxa"/>
          </w:tcPr>
          <w:p w14:paraId="5791B695" w14:textId="170E75D6" w:rsidR="00662957" w:rsidRPr="00D477AD" w:rsidRDefault="00662957" w:rsidP="00662957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eastAsia="CG Omega" w:cs="Arial"/>
                <w:sz w:val="18"/>
                <w:szCs w:val="18"/>
              </w:rPr>
            </w:pPr>
            <w:r>
              <w:rPr>
                <w:rFonts w:eastAsia="CG Omega" w:cs="Arial"/>
                <w:sz w:val="18"/>
                <w:szCs w:val="18"/>
              </w:rPr>
              <w:t xml:space="preserve">Does the board receive </w:t>
            </w:r>
            <w:r w:rsidR="00332607">
              <w:rPr>
                <w:rFonts w:eastAsia="CG Omega" w:cs="Arial"/>
                <w:sz w:val="18"/>
                <w:szCs w:val="18"/>
              </w:rPr>
              <w:t>LIBOR</w:t>
            </w:r>
            <w:r>
              <w:rPr>
                <w:rFonts w:eastAsia="CG Omega" w:cs="Arial"/>
                <w:sz w:val="18"/>
                <w:szCs w:val="18"/>
              </w:rPr>
              <w:t xml:space="preserve"> transition reports with an appropriate frequency?  </w:t>
            </w:r>
          </w:p>
        </w:tc>
        <w:tc>
          <w:tcPr>
            <w:tcW w:w="1554" w:type="dxa"/>
          </w:tcPr>
          <w:p w14:paraId="0C1648C0" w14:textId="7EEBC8B1" w:rsidR="00662957" w:rsidRPr="000C1C6C" w:rsidRDefault="0046342C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81753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 w:rsidRPr="000C1C6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 w:rsidRPr="000C1C6C">
              <w:rPr>
                <w:rFonts w:eastAsia="CG Omega" w:cs="Arial"/>
                <w:sz w:val="18"/>
                <w:szCs w:val="18"/>
              </w:rPr>
              <w:t xml:space="preserve"> Yes</w:t>
            </w:r>
          </w:p>
          <w:p w14:paraId="4DF1A053" w14:textId="0EBB9A56" w:rsidR="00662957" w:rsidRDefault="0046342C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208286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 w:rsidRPr="000C1C6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 w:rsidRPr="000C1C6C">
              <w:rPr>
                <w:rFonts w:eastAsia="CG Omega" w:cs="Arial"/>
                <w:sz w:val="18"/>
                <w:szCs w:val="18"/>
              </w:rPr>
              <w:t xml:space="preserve"> No</w:t>
            </w:r>
          </w:p>
        </w:tc>
        <w:tc>
          <w:tcPr>
            <w:tcW w:w="2880" w:type="dxa"/>
          </w:tcPr>
          <w:p w14:paraId="49A0814B" w14:textId="77777777" w:rsidR="00662957" w:rsidRPr="00701682" w:rsidRDefault="00662957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</w:p>
        </w:tc>
      </w:tr>
      <w:tr w:rsidR="00662957" w:rsidRPr="00701682" w14:paraId="5F2D2C9F" w14:textId="77777777" w:rsidTr="009F0C47">
        <w:tc>
          <w:tcPr>
            <w:tcW w:w="9360" w:type="dxa"/>
            <w:gridSpan w:val="3"/>
            <w:vAlign w:val="center"/>
          </w:tcPr>
          <w:p w14:paraId="1514EF4D" w14:textId="1D0A5FCB" w:rsidR="00662957" w:rsidRPr="0042223E" w:rsidRDefault="00662957" w:rsidP="009F0C47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477AD">
              <w:rPr>
                <w:rFonts w:cs="Arial"/>
                <w:b/>
                <w:bCs/>
                <w:sz w:val="18"/>
                <w:szCs w:val="18"/>
              </w:rPr>
              <w:t xml:space="preserve">Replacement </w:t>
            </w:r>
            <w:r w:rsidR="00D87861">
              <w:rPr>
                <w:rFonts w:cs="Arial"/>
                <w:b/>
                <w:bCs/>
                <w:sz w:val="18"/>
                <w:szCs w:val="18"/>
              </w:rPr>
              <w:t>r</w:t>
            </w:r>
            <w:r w:rsidRPr="00D477AD">
              <w:rPr>
                <w:rFonts w:cs="Arial"/>
                <w:b/>
                <w:bCs/>
                <w:sz w:val="18"/>
                <w:szCs w:val="18"/>
              </w:rPr>
              <w:t>ates</w:t>
            </w:r>
          </w:p>
        </w:tc>
      </w:tr>
      <w:tr w:rsidR="00662957" w:rsidRPr="00701682" w14:paraId="4984E84A" w14:textId="77777777" w:rsidTr="009F0C47">
        <w:trPr>
          <w:trHeight w:val="476"/>
        </w:trPr>
        <w:tc>
          <w:tcPr>
            <w:tcW w:w="4926" w:type="dxa"/>
          </w:tcPr>
          <w:p w14:paraId="6315ACD2" w14:textId="6B359CD8" w:rsidR="00662957" w:rsidRPr="00701682" w:rsidRDefault="00662957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r w:rsidRPr="00D477AD">
              <w:rPr>
                <w:rFonts w:eastAsia="CG Omega" w:cs="Arial"/>
                <w:b/>
                <w:bCs/>
                <w:sz w:val="18"/>
                <w:szCs w:val="18"/>
              </w:rPr>
              <w:t>Objective:</w:t>
            </w:r>
            <w:r w:rsidRPr="00D477AD">
              <w:rPr>
                <w:rFonts w:eastAsia="CG Omega" w:cs="Arial"/>
                <w:sz w:val="18"/>
                <w:szCs w:val="18"/>
              </w:rPr>
              <w:t xml:space="preserve"> </w:t>
            </w:r>
            <w:r>
              <w:rPr>
                <w:rFonts w:eastAsia="CG Omega" w:cs="Arial"/>
                <w:sz w:val="18"/>
                <w:szCs w:val="18"/>
              </w:rPr>
              <w:t>Did</w:t>
            </w:r>
            <w:r w:rsidRPr="00D477AD">
              <w:rPr>
                <w:rFonts w:eastAsia="CG Omega" w:cs="Arial"/>
                <w:sz w:val="18"/>
                <w:szCs w:val="18"/>
              </w:rPr>
              <w:t xml:space="preserve"> management plan for and identif</w:t>
            </w:r>
            <w:r>
              <w:rPr>
                <w:rFonts w:eastAsia="CG Omega" w:cs="Arial"/>
                <w:sz w:val="18"/>
                <w:szCs w:val="18"/>
              </w:rPr>
              <w:t>y</w:t>
            </w:r>
            <w:r w:rsidRPr="00D477AD">
              <w:rPr>
                <w:rFonts w:eastAsia="CG Omega" w:cs="Arial"/>
                <w:sz w:val="18"/>
                <w:szCs w:val="18"/>
              </w:rPr>
              <w:t xml:space="preserve"> appropriate replacement rates and spread adjustment methodologies? </w:t>
            </w:r>
            <w:r w:rsidR="00AF6A73">
              <w:rPr>
                <w:rFonts w:eastAsia="CG Omega" w:cs="Arial"/>
                <w:sz w:val="18"/>
                <w:szCs w:val="18"/>
              </w:rPr>
              <w:t>While</w:t>
            </w:r>
            <w:r>
              <w:rPr>
                <w:rFonts w:eastAsia="CG Omega" w:cs="Arial"/>
                <w:sz w:val="18"/>
                <w:szCs w:val="18"/>
              </w:rPr>
              <w:t xml:space="preserve"> the OCC does not endorse a specific </w:t>
            </w:r>
            <w:r w:rsidR="00332607">
              <w:rPr>
                <w:rFonts w:eastAsia="CG Omega" w:cs="Arial"/>
                <w:sz w:val="18"/>
                <w:szCs w:val="18"/>
              </w:rPr>
              <w:t>LIBOR</w:t>
            </w:r>
            <w:r>
              <w:rPr>
                <w:rFonts w:eastAsia="CG Omega" w:cs="Arial"/>
                <w:sz w:val="18"/>
                <w:szCs w:val="18"/>
              </w:rPr>
              <w:t xml:space="preserve"> replacement rate</w:t>
            </w:r>
            <w:r w:rsidR="00AF6A73">
              <w:rPr>
                <w:rFonts w:eastAsia="CG Omega" w:cs="Arial"/>
                <w:sz w:val="18"/>
                <w:szCs w:val="18"/>
              </w:rPr>
              <w:t>, the supervisory expectation is that the rates identified are robust</w:t>
            </w:r>
            <w:r>
              <w:rPr>
                <w:rFonts w:eastAsia="CG Omega" w:cs="Arial"/>
                <w:sz w:val="18"/>
                <w:szCs w:val="18"/>
              </w:rPr>
              <w:t>. C</w:t>
            </w:r>
            <w:r w:rsidRPr="00D477AD">
              <w:rPr>
                <w:rFonts w:eastAsia="CG Omega" w:cs="Arial"/>
                <w:sz w:val="18"/>
                <w:szCs w:val="18"/>
              </w:rPr>
              <w:t>onsider in your assessment</w:t>
            </w:r>
            <w:r>
              <w:rPr>
                <w:rFonts w:eastAsia="CG Omega" w:cs="Arial"/>
                <w:sz w:val="18"/>
                <w:szCs w:val="18"/>
              </w:rPr>
              <w:t>:</w:t>
            </w:r>
          </w:p>
        </w:tc>
        <w:tc>
          <w:tcPr>
            <w:tcW w:w="1554" w:type="dxa"/>
          </w:tcPr>
          <w:p w14:paraId="5193E50E" w14:textId="0E73E769" w:rsidR="00662957" w:rsidRDefault="0046342C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204346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>
              <w:rPr>
                <w:rFonts w:eastAsia="CG Omega" w:cs="Arial"/>
                <w:sz w:val="18"/>
                <w:szCs w:val="18"/>
              </w:rPr>
              <w:t xml:space="preserve"> Yes</w:t>
            </w:r>
          </w:p>
          <w:p w14:paraId="31C73216" w14:textId="4EAFC07E" w:rsidR="00662957" w:rsidRPr="00701682" w:rsidRDefault="0046342C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-84270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>
              <w:rPr>
                <w:rFonts w:eastAsia="CG Omega" w:cs="Arial"/>
                <w:sz w:val="18"/>
                <w:szCs w:val="18"/>
              </w:rPr>
              <w:t xml:space="preserve"> No</w:t>
            </w:r>
          </w:p>
        </w:tc>
        <w:tc>
          <w:tcPr>
            <w:tcW w:w="2880" w:type="dxa"/>
          </w:tcPr>
          <w:p w14:paraId="41D95454" w14:textId="77777777" w:rsidR="00662957" w:rsidRPr="00701682" w:rsidRDefault="00662957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r>
              <w:rPr>
                <w:rFonts w:eastAsia="CG Omega" w:cs="Arial"/>
                <w:sz w:val="18"/>
                <w:szCs w:val="18"/>
              </w:rPr>
              <w:t xml:space="preserve">Comments: </w:t>
            </w:r>
          </w:p>
        </w:tc>
      </w:tr>
      <w:tr w:rsidR="00662957" w:rsidRPr="00701682" w14:paraId="3971CD2F" w14:textId="77777777" w:rsidTr="009F0C47">
        <w:tc>
          <w:tcPr>
            <w:tcW w:w="4926" w:type="dxa"/>
          </w:tcPr>
          <w:p w14:paraId="0AD04D8E" w14:textId="77777777" w:rsidR="00662957" w:rsidRPr="00946DED" w:rsidRDefault="00662957" w:rsidP="00662957">
            <w:pPr>
              <w:pStyle w:val="ListParagraph"/>
              <w:widowControl w:val="0"/>
              <w:numPr>
                <w:ilvl w:val="0"/>
                <w:numId w:val="4"/>
              </w:num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bookmarkStart w:id="0" w:name="_Hlk51768670"/>
            <w:r w:rsidRPr="00D477AD">
              <w:rPr>
                <w:rFonts w:cs="Arial"/>
                <w:color w:val="000000"/>
                <w:sz w:val="18"/>
                <w:szCs w:val="18"/>
              </w:rPr>
              <w:t>Has management developed appropriate strategies to identify replacement rates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and</w:t>
            </w:r>
            <w:r w:rsidRPr="00D477AD">
              <w:rPr>
                <w:rFonts w:cs="Arial"/>
                <w:color w:val="000000"/>
                <w:sz w:val="18"/>
                <w:szCs w:val="18"/>
              </w:rPr>
              <w:t xml:space="preserve"> spread adjustment</w:t>
            </w: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D477AD">
              <w:rPr>
                <w:rFonts w:cs="Arial"/>
                <w:color w:val="000000"/>
                <w:sz w:val="18"/>
                <w:szCs w:val="18"/>
              </w:rPr>
              <w:t xml:space="preserve"> and modify new and existing contracts, as necessary? Consider </w:t>
            </w:r>
            <w:r>
              <w:rPr>
                <w:rFonts w:cs="Arial"/>
                <w:color w:val="000000"/>
                <w:sz w:val="18"/>
                <w:szCs w:val="18"/>
              </w:rPr>
              <w:t>in your assessment:</w:t>
            </w:r>
          </w:p>
        </w:tc>
        <w:tc>
          <w:tcPr>
            <w:tcW w:w="1554" w:type="dxa"/>
          </w:tcPr>
          <w:p w14:paraId="743BFEEC" w14:textId="77777777" w:rsidR="00662957" w:rsidRDefault="0046342C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-165922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>
              <w:rPr>
                <w:rFonts w:eastAsia="CG Omega" w:cs="Arial"/>
                <w:sz w:val="18"/>
                <w:szCs w:val="18"/>
              </w:rPr>
              <w:t xml:space="preserve"> Yes</w:t>
            </w:r>
          </w:p>
          <w:p w14:paraId="3CAFA8BC" w14:textId="77777777" w:rsidR="00662957" w:rsidRPr="00701682" w:rsidRDefault="0046342C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115486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>
              <w:rPr>
                <w:rFonts w:eastAsia="CG Omega" w:cs="Arial"/>
                <w:sz w:val="18"/>
                <w:szCs w:val="18"/>
              </w:rPr>
              <w:t xml:space="preserve"> No</w:t>
            </w:r>
          </w:p>
        </w:tc>
        <w:tc>
          <w:tcPr>
            <w:tcW w:w="2880" w:type="dxa"/>
          </w:tcPr>
          <w:p w14:paraId="39E8F7A8" w14:textId="77777777" w:rsidR="00662957" w:rsidRPr="00701682" w:rsidRDefault="00662957" w:rsidP="009F0C47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662957" w:rsidRPr="00701682" w14:paraId="2EF28B33" w14:textId="77777777" w:rsidTr="009F0C47">
        <w:tc>
          <w:tcPr>
            <w:tcW w:w="4926" w:type="dxa"/>
          </w:tcPr>
          <w:p w14:paraId="5DD96627" w14:textId="77777777" w:rsidR="00662957" w:rsidRPr="00D477AD" w:rsidDel="009B046F" w:rsidRDefault="00662957" w:rsidP="00662957">
            <w:pPr>
              <w:pStyle w:val="ListParagraph"/>
              <w:numPr>
                <w:ilvl w:val="1"/>
                <w:numId w:val="4"/>
              </w:numPr>
              <w:spacing w:before="40" w:after="40"/>
              <w:ind w:left="720"/>
              <w:contextualSpacing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Have strategies addressed r</w:t>
            </w:r>
            <w:r w:rsidRPr="00D477AD">
              <w:rPr>
                <w:rFonts w:cs="Arial"/>
                <w:color w:val="000000"/>
                <w:sz w:val="18"/>
                <w:szCs w:val="18"/>
              </w:rPr>
              <w:t>eplacement rate availability, suitability, and appropriateness</w:t>
            </w:r>
            <w:r>
              <w:rPr>
                <w:rFonts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554" w:type="dxa"/>
          </w:tcPr>
          <w:p w14:paraId="7830DD73" w14:textId="77777777" w:rsidR="00662957" w:rsidRDefault="0046342C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-180730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>
              <w:rPr>
                <w:rFonts w:eastAsia="CG Omega" w:cs="Arial"/>
                <w:sz w:val="18"/>
                <w:szCs w:val="18"/>
              </w:rPr>
              <w:t xml:space="preserve"> Yes</w:t>
            </w:r>
          </w:p>
          <w:p w14:paraId="05AC8B94" w14:textId="77777777" w:rsidR="00662957" w:rsidRPr="00701682" w:rsidRDefault="0046342C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-79737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>
              <w:rPr>
                <w:rFonts w:eastAsia="CG Omega" w:cs="Arial"/>
                <w:sz w:val="18"/>
                <w:szCs w:val="18"/>
              </w:rPr>
              <w:t xml:space="preserve"> No</w:t>
            </w:r>
          </w:p>
        </w:tc>
        <w:tc>
          <w:tcPr>
            <w:tcW w:w="2880" w:type="dxa"/>
          </w:tcPr>
          <w:p w14:paraId="4773578D" w14:textId="77777777" w:rsidR="00662957" w:rsidRPr="00701682" w:rsidRDefault="00662957" w:rsidP="009F0C47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662957" w:rsidRPr="00701682" w14:paraId="0718BC63" w14:textId="77777777" w:rsidTr="009F0C47">
        <w:tc>
          <w:tcPr>
            <w:tcW w:w="4926" w:type="dxa"/>
          </w:tcPr>
          <w:p w14:paraId="29D2E83D" w14:textId="77777777" w:rsidR="00662957" w:rsidRPr="00D477AD" w:rsidRDefault="00662957" w:rsidP="00662957">
            <w:pPr>
              <w:pStyle w:val="ListParagraph"/>
              <w:numPr>
                <w:ilvl w:val="1"/>
                <w:numId w:val="4"/>
              </w:numPr>
              <w:spacing w:before="40" w:after="40"/>
              <w:ind w:left="720"/>
              <w:contextualSpacing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Have strategies addressed u</w:t>
            </w:r>
            <w:r w:rsidRPr="00D477AD">
              <w:rPr>
                <w:rFonts w:cs="Arial"/>
                <w:color w:val="000000"/>
                <w:sz w:val="18"/>
                <w:szCs w:val="18"/>
              </w:rPr>
              <w:t>ncertainty of alternative rates market liquid</w:t>
            </w:r>
            <w:r>
              <w:rPr>
                <w:rFonts w:cs="Arial"/>
                <w:color w:val="000000"/>
                <w:sz w:val="18"/>
                <w:szCs w:val="18"/>
              </w:rPr>
              <w:t>ity</w:t>
            </w:r>
            <w:r w:rsidRPr="00D477AD">
              <w:rPr>
                <w:rFonts w:cs="Arial"/>
                <w:color w:val="000000"/>
                <w:sz w:val="18"/>
                <w:szCs w:val="18"/>
              </w:rPr>
              <w:t xml:space="preserve"> and availab</w:t>
            </w:r>
            <w:r>
              <w:rPr>
                <w:rFonts w:cs="Arial"/>
                <w:color w:val="000000"/>
                <w:sz w:val="18"/>
                <w:szCs w:val="18"/>
              </w:rPr>
              <w:t>ility</w:t>
            </w:r>
            <w:r w:rsidRPr="00D477AD">
              <w:rPr>
                <w:rFonts w:cs="Arial"/>
                <w:color w:val="000000"/>
                <w:sz w:val="18"/>
                <w:szCs w:val="18"/>
              </w:rPr>
              <w:t xml:space="preserve"> and management’s strategies to mitigate the risks associated with illiquid or unavailable alternative rates markets</w:t>
            </w:r>
            <w:r>
              <w:rPr>
                <w:rFonts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554" w:type="dxa"/>
          </w:tcPr>
          <w:p w14:paraId="1B24354B" w14:textId="77777777" w:rsidR="00662957" w:rsidRDefault="0046342C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-56827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>
              <w:rPr>
                <w:rFonts w:eastAsia="CG Omega" w:cs="Arial"/>
                <w:sz w:val="18"/>
                <w:szCs w:val="18"/>
              </w:rPr>
              <w:t xml:space="preserve"> Yes</w:t>
            </w:r>
          </w:p>
          <w:p w14:paraId="571D3C83" w14:textId="77777777" w:rsidR="00662957" w:rsidRDefault="0046342C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-147042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>
              <w:rPr>
                <w:rFonts w:eastAsia="CG Omega" w:cs="Arial"/>
                <w:sz w:val="18"/>
                <w:szCs w:val="18"/>
              </w:rPr>
              <w:t xml:space="preserve"> No</w:t>
            </w:r>
          </w:p>
        </w:tc>
        <w:tc>
          <w:tcPr>
            <w:tcW w:w="2880" w:type="dxa"/>
          </w:tcPr>
          <w:p w14:paraId="17A74542" w14:textId="77777777" w:rsidR="00662957" w:rsidRPr="00701682" w:rsidRDefault="00662957" w:rsidP="009F0C47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662957" w:rsidRPr="00701682" w14:paraId="37FE9D96" w14:textId="77777777" w:rsidTr="009F0C47">
        <w:tc>
          <w:tcPr>
            <w:tcW w:w="4926" w:type="dxa"/>
          </w:tcPr>
          <w:p w14:paraId="5AFFD969" w14:textId="77777777" w:rsidR="00662957" w:rsidRPr="001834AD" w:rsidRDefault="00662957" w:rsidP="00662957">
            <w:pPr>
              <w:pStyle w:val="Default"/>
              <w:numPr>
                <w:ilvl w:val="0"/>
                <w:numId w:val="4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477AD">
              <w:rPr>
                <w:rFonts w:ascii="Arial" w:hAnsi="Arial" w:cs="Arial"/>
                <w:sz w:val="18"/>
                <w:szCs w:val="18"/>
              </w:rPr>
              <w:t>Has management identified appropriate replacement rates and adjustment methodologies</w:t>
            </w:r>
            <w:r>
              <w:rPr>
                <w:rFonts w:ascii="Arial" w:hAnsi="Arial" w:cs="Arial"/>
                <w:sz w:val="18"/>
                <w:szCs w:val="18"/>
              </w:rPr>
              <w:t xml:space="preserve"> that do not result in customer harm or expose the bank to unwarranted compliance and reputation risks? </w:t>
            </w:r>
          </w:p>
        </w:tc>
        <w:tc>
          <w:tcPr>
            <w:tcW w:w="1554" w:type="dxa"/>
          </w:tcPr>
          <w:p w14:paraId="24447ADF" w14:textId="77777777" w:rsidR="00662957" w:rsidRDefault="0046342C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-59740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>
              <w:rPr>
                <w:rFonts w:eastAsia="CG Omega" w:cs="Arial"/>
                <w:sz w:val="18"/>
                <w:szCs w:val="18"/>
              </w:rPr>
              <w:t xml:space="preserve"> Yes</w:t>
            </w:r>
          </w:p>
          <w:p w14:paraId="722A7BCD" w14:textId="77777777" w:rsidR="00662957" w:rsidRPr="00701682" w:rsidRDefault="0046342C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-26846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>
              <w:rPr>
                <w:rFonts w:eastAsia="CG Omega" w:cs="Arial"/>
                <w:sz w:val="18"/>
                <w:szCs w:val="18"/>
              </w:rPr>
              <w:t xml:space="preserve"> No</w:t>
            </w:r>
          </w:p>
        </w:tc>
        <w:tc>
          <w:tcPr>
            <w:tcW w:w="2880" w:type="dxa"/>
          </w:tcPr>
          <w:p w14:paraId="62DC498D" w14:textId="77777777" w:rsidR="00662957" w:rsidRPr="00701682" w:rsidRDefault="00662957" w:rsidP="009F0C47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662957" w:rsidRPr="00701682" w14:paraId="22473CF5" w14:textId="77777777" w:rsidTr="009F0C47">
        <w:tc>
          <w:tcPr>
            <w:tcW w:w="4926" w:type="dxa"/>
          </w:tcPr>
          <w:p w14:paraId="3DF04488" w14:textId="548DA6FD" w:rsidR="00662957" w:rsidRPr="00D477AD" w:rsidRDefault="00662957" w:rsidP="00662957">
            <w:pPr>
              <w:pStyle w:val="Default"/>
              <w:numPr>
                <w:ilvl w:val="0"/>
                <w:numId w:val="4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management has identified replacement rates, can the bank’s systems accommodate the rates?</w:t>
            </w:r>
          </w:p>
        </w:tc>
        <w:tc>
          <w:tcPr>
            <w:tcW w:w="1554" w:type="dxa"/>
          </w:tcPr>
          <w:p w14:paraId="4581E25C" w14:textId="77777777" w:rsidR="00662957" w:rsidRDefault="0046342C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-67164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>
              <w:rPr>
                <w:rFonts w:eastAsia="CG Omega" w:cs="Arial"/>
                <w:sz w:val="18"/>
                <w:szCs w:val="18"/>
              </w:rPr>
              <w:t xml:space="preserve"> Yes</w:t>
            </w:r>
          </w:p>
          <w:p w14:paraId="22D5ABCE" w14:textId="77777777" w:rsidR="00662957" w:rsidRDefault="0046342C" w:rsidP="009F0C47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58434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9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62957">
              <w:rPr>
                <w:rFonts w:eastAsia="CG Omega" w:cs="Arial"/>
                <w:sz w:val="18"/>
                <w:szCs w:val="18"/>
              </w:rPr>
              <w:t xml:space="preserve"> No</w:t>
            </w:r>
          </w:p>
        </w:tc>
        <w:tc>
          <w:tcPr>
            <w:tcW w:w="2880" w:type="dxa"/>
          </w:tcPr>
          <w:p w14:paraId="7A2CC324" w14:textId="77777777" w:rsidR="00662957" w:rsidRPr="00701682" w:rsidRDefault="00662957" w:rsidP="009F0C47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591EA0" w:rsidRPr="00701682" w14:paraId="673A9222" w14:textId="77777777" w:rsidTr="009F0C47">
        <w:tc>
          <w:tcPr>
            <w:tcW w:w="4926" w:type="dxa"/>
          </w:tcPr>
          <w:p w14:paraId="4984F438" w14:textId="20581969" w:rsidR="00591EA0" w:rsidRDefault="00591EA0" w:rsidP="00662957">
            <w:pPr>
              <w:pStyle w:val="Default"/>
              <w:numPr>
                <w:ilvl w:val="0"/>
                <w:numId w:val="4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the identified replacement rates sufficiently robust</w:t>
            </w:r>
            <w:r w:rsidR="00AF6A73">
              <w:rPr>
                <w:rFonts w:ascii="Arial" w:hAnsi="Arial" w:cs="Arial"/>
                <w:sz w:val="18"/>
                <w:szCs w:val="18"/>
              </w:rPr>
              <w:t>? Consider in your assessment: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4" w:type="dxa"/>
          </w:tcPr>
          <w:p w14:paraId="69A0B063" w14:textId="77777777" w:rsidR="00591EA0" w:rsidRDefault="0046342C" w:rsidP="00591EA0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-126730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EA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91EA0">
              <w:rPr>
                <w:rFonts w:eastAsia="CG Omega" w:cs="Arial"/>
                <w:sz w:val="18"/>
                <w:szCs w:val="18"/>
              </w:rPr>
              <w:t xml:space="preserve"> Yes</w:t>
            </w:r>
          </w:p>
          <w:p w14:paraId="0C99DE84" w14:textId="549BAA38" w:rsidR="00591EA0" w:rsidRDefault="0046342C" w:rsidP="00591EA0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-3829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EA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91EA0">
              <w:rPr>
                <w:rFonts w:eastAsia="CG Omega" w:cs="Arial"/>
                <w:sz w:val="18"/>
                <w:szCs w:val="18"/>
              </w:rPr>
              <w:t xml:space="preserve"> No</w:t>
            </w:r>
          </w:p>
        </w:tc>
        <w:tc>
          <w:tcPr>
            <w:tcW w:w="2880" w:type="dxa"/>
          </w:tcPr>
          <w:p w14:paraId="05FA1D16" w14:textId="77777777" w:rsidR="00591EA0" w:rsidRPr="00701682" w:rsidRDefault="00591EA0" w:rsidP="009F0C47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AF6A73" w:rsidRPr="00701682" w14:paraId="4DB99C88" w14:textId="77777777" w:rsidTr="009F0C47">
        <w:tc>
          <w:tcPr>
            <w:tcW w:w="4926" w:type="dxa"/>
          </w:tcPr>
          <w:p w14:paraId="63D8C7EE" w14:textId="0F92EA3F" w:rsidR="00AF6A73" w:rsidRDefault="00AF6A73" w:rsidP="00715C70">
            <w:pPr>
              <w:pStyle w:val="Default"/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591EA0">
              <w:rPr>
                <w:rFonts w:ascii="Arial" w:hAnsi="Arial" w:cs="Arial"/>
                <w:sz w:val="18"/>
                <w:szCs w:val="18"/>
              </w:rPr>
              <w:t>uring a stress period, will the rate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591EA0">
              <w:rPr>
                <w:rFonts w:ascii="Arial" w:hAnsi="Arial" w:cs="Arial"/>
                <w:sz w:val="18"/>
                <w:szCs w:val="18"/>
              </w:rPr>
              <w:t xml:space="preserve"> reflect competitive forces of supply and demand from a sufficient number of arms-length transactions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54" w:type="dxa"/>
          </w:tcPr>
          <w:p w14:paraId="47FD875F" w14:textId="77777777" w:rsidR="00AF6A73" w:rsidRDefault="0046342C" w:rsidP="00AF6A73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-179620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A7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F6A73">
              <w:rPr>
                <w:rFonts w:eastAsia="CG Omega" w:cs="Arial"/>
                <w:sz w:val="18"/>
                <w:szCs w:val="18"/>
              </w:rPr>
              <w:t xml:space="preserve"> Yes</w:t>
            </w:r>
          </w:p>
          <w:p w14:paraId="0E7ACE7B" w14:textId="643F1895" w:rsidR="00AF6A73" w:rsidRDefault="0046342C" w:rsidP="00AF6A73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16676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A7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F6A73">
              <w:rPr>
                <w:rFonts w:eastAsia="CG Omega" w:cs="Arial"/>
                <w:sz w:val="18"/>
                <w:szCs w:val="18"/>
              </w:rPr>
              <w:t xml:space="preserve"> No</w:t>
            </w:r>
          </w:p>
        </w:tc>
        <w:tc>
          <w:tcPr>
            <w:tcW w:w="2880" w:type="dxa"/>
          </w:tcPr>
          <w:p w14:paraId="184FF012" w14:textId="77777777" w:rsidR="00AF6A73" w:rsidRPr="00701682" w:rsidRDefault="00AF6A73" w:rsidP="009F0C47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AF6A73" w:rsidRPr="00701682" w14:paraId="60720A07" w14:textId="77777777" w:rsidTr="009F0C47">
        <w:tc>
          <w:tcPr>
            <w:tcW w:w="4926" w:type="dxa"/>
          </w:tcPr>
          <w:p w14:paraId="41FAE6A5" w14:textId="47F1C720" w:rsidR="00AF6A73" w:rsidRDefault="00715C70" w:rsidP="00AF6A73">
            <w:pPr>
              <w:pStyle w:val="Default"/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Can market participants independently confirm the rates published by the benchmark administrator?</w:t>
            </w:r>
          </w:p>
        </w:tc>
        <w:tc>
          <w:tcPr>
            <w:tcW w:w="1554" w:type="dxa"/>
          </w:tcPr>
          <w:p w14:paraId="76BB5945" w14:textId="77777777" w:rsidR="00AF6A73" w:rsidRDefault="0046342C" w:rsidP="00AF6A73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-95225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A7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F6A73">
              <w:rPr>
                <w:rFonts w:eastAsia="CG Omega" w:cs="Arial"/>
                <w:sz w:val="18"/>
                <w:szCs w:val="18"/>
              </w:rPr>
              <w:t xml:space="preserve"> Yes</w:t>
            </w:r>
          </w:p>
          <w:p w14:paraId="516F2261" w14:textId="0C5C97F7" w:rsidR="00AF6A73" w:rsidRDefault="0046342C" w:rsidP="00AF6A73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-158490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A7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F6A73">
              <w:rPr>
                <w:rFonts w:eastAsia="CG Omega" w:cs="Arial"/>
                <w:sz w:val="18"/>
                <w:szCs w:val="18"/>
              </w:rPr>
              <w:t xml:space="preserve"> No</w:t>
            </w:r>
          </w:p>
        </w:tc>
        <w:tc>
          <w:tcPr>
            <w:tcW w:w="2880" w:type="dxa"/>
          </w:tcPr>
          <w:p w14:paraId="2F86C64B" w14:textId="77777777" w:rsidR="00AF6A73" w:rsidRPr="00701682" w:rsidRDefault="00AF6A73" w:rsidP="009F0C47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AF6A73" w:rsidRPr="00701682" w14:paraId="5DE6F722" w14:textId="77777777" w:rsidTr="009F0C47">
        <w:tc>
          <w:tcPr>
            <w:tcW w:w="4926" w:type="dxa"/>
          </w:tcPr>
          <w:p w14:paraId="30ADD604" w14:textId="2170F842" w:rsidR="00AF6A73" w:rsidRDefault="00715C70" w:rsidP="00AF6A73">
            <w:pPr>
              <w:pStyle w:val="Default"/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the market for financial instruments that use the rate deep and liquid enough to allow the bank to easily manage the </w:t>
            </w:r>
            <w:r w:rsidR="005F2807">
              <w:rPr>
                <w:rFonts w:ascii="Arial" w:hAnsi="Arial" w:cs="Arial"/>
                <w:sz w:val="18"/>
                <w:szCs w:val="18"/>
              </w:rPr>
              <w:t>market</w:t>
            </w:r>
            <w:r>
              <w:rPr>
                <w:rFonts w:ascii="Arial" w:hAnsi="Arial" w:cs="Arial"/>
                <w:sz w:val="18"/>
                <w:szCs w:val="18"/>
              </w:rPr>
              <w:t xml:space="preserve"> risk of </w:t>
            </w:r>
            <w:r w:rsidR="005F2807">
              <w:rPr>
                <w:rFonts w:ascii="Arial" w:hAnsi="Arial" w:cs="Arial"/>
                <w:sz w:val="18"/>
                <w:szCs w:val="18"/>
              </w:rPr>
              <w:t>assets and liabilities that use the rate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54" w:type="dxa"/>
          </w:tcPr>
          <w:p w14:paraId="554F493D" w14:textId="77777777" w:rsidR="00AF6A73" w:rsidRDefault="0046342C" w:rsidP="00AF6A73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-136759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A7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F6A73">
              <w:rPr>
                <w:rFonts w:eastAsia="CG Omega" w:cs="Arial"/>
                <w:sz w:val="18"/>
                <w:szCs w:val="18"/>
              </w:rPr>
              <w:t xml:space="preserve"> Yes</w:t>
            </w:r>
          </w:p>
          <w:p w14:paraId="17F81233" w14:textId="5DB98120" w:rsidR="00AF6A73" w:rsidRDefault="0046342C" w:rsidP="00AF6A73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180042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A7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F6A73">
              <w:rPr>
                <w:rFonts w:eastAsia="CG Omega" w:cs="Arial"/>
                <w:sz w:val="18"/>
                <w:szCs w:val="18"/>
              </w:rPr>
              <w:t xml:space="preserve"> No</w:t>
            </w:r>
          </w:p>
        </w:tc>
        <w:tc>
          <w:tcPr>
            <w:tcW w:w="2880" w:type="dxa"/>
          </w:tcPr>
          <w:p w14:paraId="22DEF197" w14:textId="77777777" w:rsidR="00AF6A73" w:rsidRPr="00701682" w:rsidRDefault="00AF6A73" w:rsidP="009F0C47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bookmarkEnd w:id="0"/>
      <w:tr w:rsidR="001966A5" w:rsidRPr="00701682" w14:paraId="55B1E0EA" w14:textId="77777777" w:rsidTr="009F0C47">
        <w:tc>
          <w:tcPr>
            <w:tcW w:w="4926" w:type="dxa"/>
          </w:tcPr>
          <w:p w14:paraId="597020CF" w14:textId="187E11D2" w:rsidR="001966A5" w:rsidDel="00715C70" w:rsidRDefault="001966A5" w:rsidP="001966A5">
            <w:pPr>
              <w:pStyle w:val="Default"/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the underlying data span at least one full economic cycle?</w:t>
            </w:r>
          </w:p>
        </w:tc>
        <w:tc>
          <w:tcPr>
            <w:tcW w:w="1554" w:type="dxa"/>
          </w:tcPr>
          <w:p w14:paraId="68CE8ABB" w14:textId="77777777" w:rsidR="001966A5" w:rsidRDefault="0046342C" w:rsidP="001966A5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134567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966A5">
              <w:rPr>
                <w:rFonts w:eastAsia="CG Omega" w:cs="Arial"/>
                <w:sz w:val="18"/>
                <w:szCs w:val="18"/>
              </w:rPr>
              <w:t xml:space="preserve"> Yes</w:t>
            </w:r>
          </w:p>
          <w:p w14:paraId="3DA78256" w14:textId="56AD1B79" w:rsidR="001966A5" w:rsidRDefault="0046342C" w:rsidP="001966A5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-138933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966A5">
              <w:rPr>
                <w:rFonts w:eastAsia="CG Omega" w:cs="Arial"/>
                <w:sz w:val="18"/>
                <w:szCs w:val="18"/>
              </w:rPr>
              <w:t xml:space="preserve"> No</w:t>
            </w:r>
          </w:p>
        </w:tc>
        <w:tc>
          <w:tcPr>
            <w:tcW w:w="2880" w:type="dxa"/>
          </w:tcPr>
          <w:p w14:paraId="5E3FEE9D" w14:textId="77777777" w:rsidR="001966A5" w:rsidRPr="00701682" w:rsidRDefault="001966A5" w:rsidP="001966A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1966A5" w:rsidRPr="00701682" w14:paraId="1975C26C" w14:textId="77777777" w:rsidTr="009F0C47">
        <w:tc>
          <w:tcPr>
            <w:tcW w:w="9360" w:type="dxa"/>
            <w:gridSpan w:val="3"/>
            <w:vAlign w:val="center"/>
          </w:tcPr>
          <w:p w14:paraId="21FA46AB" w14:textId="484F8D9D" w:rsidR="001966A5" w:rsidRPr="00AD613A" w:rsidRDefault="001966A5" w:rsidP="001966A5">
            <w:pPr>
              <w:keepNext/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Fallback </w:t>
            </w:r>
            <w:r w:rsidR="00D87861">
              <w:rPr>
                <w:rFonts w:cs="Arial"/>
                <w:b/>
                <w:bCs/>
                <w:sz w:val="18"/>
                <w:szCs w:val="18"/>
              </w:rPr>
              <w:t>l</w:t>
            </w:r>
            <w:r>
              <w:rPr>
                <w:rFonts w:cs="Arial"/>
                <w:b/>
                <w:bCs/>
                <w:sz w:val="18"/>
                <w:szCs w:val="18"/>
              </w:rPr>
              <w:t>anguage</w:t>
            </w:r>
          </w:p>
        </w:tc>
      </w:tr>
      <w:tr w:rsidR="001966A5" w:rsidRPr="00701682" w14:paraId="74F24B7D" w14:textId="77777777" w:rsidTr="009F0C47">
        <w:trPr>
          <w:cantSplit/>
          <w:trHeight w:val="710"/>
        </w:trPr>
        <w:tc>
          <w:tcPr>
            <w:tcW w:w="4926" w:type="dxa"/>
          </w:tcPr>
          <w:p w14:paraId="55B07AD5" w14:textId="31DC09D0" w:rsidR="001966A5" w:rsidRPr="00AD613A" w:rsidRDefault="001966A5" w:rsidP="001966A5">
            <w:pPr>
              <w:keepNext/>
              <w:spacing w:before="40" w:after="40"/>
              <w:rPr>
                <w:rFonts w:eastAsia="CG Omega" w:cs="Arial"/>
                <w:sz w:val="18"/>
                <w:szCs w:val="18"/>
              </w:rPr>
            </w:pPr>
            <w:r w:rsidRPr="00D477AD">
              <w:rPr>
                <w:rFonts w:eastAsia="CG Omega" w:cs="Arial"/>
                <w:b/>
                <w:bCs/>
                <w:sz w:val="18"/>
                <w:szCs w:val="18"/>
              </w:rPr>
              <w:t>Objective:</w:t>
            </w:r>
            <w:r w:rsidRPr="00D477AD">
              <w:rPr>
                <w:rFonts w:eastAsia="CG Omega" w:cs="Arial"/>
                <w:sz w:val="18"/>
                <w:szCs w:val="18"/>
              </w:rPr>
              <w:t xml:space="preserve"> </w:t>
            </w:r>
            <w:r>
              <w:rPr>
                <w:rFonts w:eastAsia="CG Omega" w:cs="Arial"/>
                <w:sz w:val="18"/>
                <w:szCs w:val="18"/>
              </w:rPr>
              <w:t>Did</w:t>
            </w:r>
            <w:r w:rsidRPr="00D477AD">
              <w:rPr>
                <w:rFonts w:eastAsia="CG Omega" w:cs="Arial"/>
                <w:sz w:val="18"/>
                <w:szCs w:val="18"/>
              </w:rPr>
              <w:t xml:space="preserve"> management plan for and take sufficient actions to ensure the appropriateness of fallback language in both existing contracts and new contracts?</w:t>
            </w:r>
          </w:p>
        </w:tc>
        <w:tc>
          <w:tcPr>
            <w:tcW w:w="1554" w:type="dxa"/>
          </w:tcPr>
          <w:p w14:paraId="6E650FCC" w14:textId="7EBB287C" w:rsidR="001966A5" w:rsidRDefault="0046342C" w:rsidP="001966A5">
            <w:pPr>
              <w:keepNext/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-116947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966A5">
              <w:rPr>
                <w:rFonts w:eastAsia="CG Omega" w:cs="Arial"/>
                <w:sz w:val="18"/>
                <w:szCs w:val="18"/>
              </w:rPr>
              <w:t xml:space="preserve"> Yes</w:t>
            </w:r>
          </w:p>
          <w:p w14:paraId="361BFDD2" w14:textId="75401E28" w:rsidR="001966A5" w:rsidRPr="00701682" w:rsidRDefault="0046342C" w:rsidP="001966A5">
            <w:pPr>
              <w:keepNext/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-59393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966A5">
              <w:rPr>
                <w:rFonts w:eastAsia="CG Omega" w:cs="Arial"/>
                <w:sz w:val="18"/>
                <w:szCs w:val="18"/>
              </w:rPr>
              <w:t xml:space="preserve"> No</w:t>
            </w:r>
          </w:p>
        </w:tc>
        <w:tc>
          <w:tcPr>
            <w:tcW w:w="2880" w:type="dxa"/>
          </w:tcPr>
          <w:p w14:paraId="6AE52CBD" w14:textId="77777777" w:rsidR="001966A5" w:rsidRPr="00701682" w:rsidRDefault="001966A5" w:rsidP="001966A5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Comments: </w:t>
            </w:r>
          </w:p>
        </w:tc>
      </w:tr>
      <w:tr w:rsidR="001966A5" w:rsidRPr="00701682" w14:paraId="21637FC1" w14:textId="77777777" w:rsidTr="009F0C47">
        <w:trPr>
          <w:cantSplit/>
          <w:trHeight w:val="350"/>
        </w:trPr>
        <w:tc>
          <w:tcPr>
            <w:tcW w:w="4926" w:type="dxa"/>
          </w:tcPr>
          <w:p w14:paraId="0E46EBEE" w14:textId="4DDCF704" w:rsidR="001966A5" w:rsidRPr="00514702" w:rsidRDefault="001966A5" w:rsidP="001966A5">
            <w:pPr>
              <w:pStyle w:val="ListParagraph"/>
              <w:numPr>
                <w:ilvl w:val="0"/>
                <w:numId w:val="5"/>
              </w:numPr>
              <w:spacing w:before="40" w:after="40"/>
              <w:rPr>
                <w:rFonts w:eastAsia="CG Omega" w:cs="Arial"/>
                <w:sz w:val="18"/>
                <w:szCs w:val="18"/>
              </w:rPr>
            </w:pPr>
            <w:bookmarkStart w:id="1" w:name="_Hlk51770172"/>
            <w:r w:rsidRPr="00221EE9">
              <w:rPr>
                <w:rFonts w:eastAsia="CG Omega" w:cs="Arial"/>
                <w:sz w:val="18"/>
                <w:szCs w:val="18"/>
              </w:rPr>
              <w:t xml:space="preserve">Did </w:t>
            </w:r>
            <w:r>
              <w:rPr>
                <w:rFonts w:eastAsia="CG Omega" w:cs="Arial"/>
                <w:sz w:val="18"/>
                <w:szCs w:val="18"/>
              </w:rPr>
              <w:t>management’s</w:t>
            </w:r>
            <w:r w:rsidRPr="00221EE9">
              <w:rPr>
                <w:rFonts w:eastAsia="CG Omega" w:cs="Arial"/>
                <w:sz w:val="18"/>
                <w:szCs w:val="18"/>
              </w:rPr>
              <w:t xml:space="preserve"> analysis of fallback language include an assessment of whether the fallback language has clear and executable terms?</w:t>
            </w:r>
          </w:p>
        </w:tc>
        <w:tc>
          <w:tcPr>
            <w:tcW w:w="1554" w:type="dxa"/>
          </w:tcPr>
          <w:p w14:paraId="51D5C421" w14:textId="77777777" w:rsidR="001966A5" w:rsidRDefault="0046342C" w:rsidP="001966A5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26658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966A5">
              <w:rPr>
                <w:rFonts w:eastAsia="CG Omega" w:cs="Arial"/>
                <w:sz w:val="18"/>
                <w:szCs w:val="18"/>
              </w:rPr>
              <w:t xml:space="preserve"> Yes</w:t>
            </w:r>
          </w:p>
          <w:p w14:paraId="10D20872" w14:textId="77777777" w:rsidR="001966A5" w:rsidRPr="00701682" w:rsidRDefault="0046342C" w:rsidP="001966A5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146238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966A5">
              <w:rPr>
                <w:rFonts w:eastAsia="CG Omega" w:cs="Arial"/>
                <w:sz w:val="18"/>
                <w:szCs w:val="18"/>
              </w:rPr>
              <w:t xml:space="preserve"> No</w:t>
            </w:r>
          </w:p>
        </w:tc>
        <w:tc>
          <w:tcPr>
            <w:tcW w:w="2880" w:type="dxa"/>
          </w:tcPr>
          <w:p w14:paraId="649ACAD0" w14:textId="77777777" w:rsidR="001966A5" w:rsidRPr="00701682" w:rsidRDefault="001966A5" w:rsidP="001966A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1966A5" w:rsidRPr="00701682" w14:paraId="20E08011" w14:textId="77777777" w:rsidTr="009F0C47">
        <w:trPr>
          <w:cantSplit/>
          <w:trHeight w:val="350"/>
        </w:trPr>
        <w:tc>
          <w:tcPr>
            <w:tcW w:w="4926" w:type="dxa"/>
          </w:tcPr>
          <w:p w14:paraId="0128E210" w14:textId="77777777" w:rsidR="001966A5" w:rsidRPr="00514702" w:rsidDel="00F65419" w:rsidRDefault="001966A5" w:rsidP="001966A5">
            <w:pPr>
              <w:pStyle w:val="ListParagraph"/>
              <w:numPr>
                <w:ilvl w:val="0"/>
                <w:numId w:val="5"/>
              </w:numPr>
              <w:spacing w:before="40" w:after="40"/>
              <w:rPr>
                <w:rFonts w:cs="Arial"/>
                <w:sz w:val="18"/>
                <w:szCs w:val="18"/>
              </w:rPr>
            </w:pPr>
            <w:r w:rsidRPr="00221EE9">
              <w:rPr>
                <w:rFonts w:cs="Arial"/>
                <w:sz w:val="18"/>
                <w:szCs w:val="18"/>
              </w:rPr>
              <w:t>Did management assess the appropriateness of contract elements for existing and new contracts?</w:t>
            </w:r>
          </w:p>
        </w:tc>
        <w:tc>
          <w:tcPr>
            <w:tcW w:w="1554" w:type="dxa"/>
          </w:tcPr>
          <w:p w14:paraId="18753637" w14:textId="77777777" w:rsidR="001966A5" w:rsidRDefault="0046342C" w:rsidP="001966A5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-165343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966A5">
              <w:rPr>
                <w:rFonts w:eastAsia="CG Omega" w:cs="Arial"/>
                <w:sz w:val="18"/>
                <w:szCs w:val="18"/>
              </w:rPr>
              <w:t xml:space="preserve"> Yes</w:t>
            </w:r>
          </w:p>
          <w:p w14:paraId="63AD8A83" w14:textId="77777777" w:rsidR="001966A5" w:rsidRPr="00701682" w:rsidRDefault="0046342C" w:rsidP="001966A5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72072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966A5">
              <w:rPr>
                <w:rFonts w:eastAsia="CG Omega" w:cs="Arial"/>
                <w:sz w:val="18"/>
                <w:szCs w:val="18"/>
              </w:rPr>
              <w:t xml:space="preserve"> No</w:t>
            </w:r>
          </w:p>
        </w:tc>
        <w:tc>
          <w:tcPr>
            <w:tcW w:w="2880" w:type="dxa"/>
          </w:tcPr>
          <w:p w14:paraId="13A7A137" w14:textId="77777777" w:rsidR="001966A5" w:rsidRPr="00701682" w:rsidRDefault="001966A5" w:rsidP="001966A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1966A5" w:rsidRPr="00701682" w14:paraId="5CA58E55" w14:textId="77777777" w:rsidTr="009F0C47">
        <w:trPr>
          <w:cantSplit/>
          <w:trHeight w:val="350"/>
        </w:trPr>
        <w:tc>
          <w:tcPr>
            <w:tcW w:w="4926" w:type="dxa"/>
          </w:tcPr>
          <w:p w14:paraId="5F9DD1C8" w14:textId="2576ADFB" w:rsidR="001966A5" w:rsidRPr="00221EE9" w:rsidDel="00F65419" w:rsidRDefault="001966A5" w:rsidP="001966A5">
            <w:pPr>
              <w:pStyle w:val="ListParagraph"/>
              <w:numPr>
                <w:ilvl w:val="0"/>
                <w:numId w:val="5"/>
              </w:numPr>
              <w:spacing w:before="40" w:after="40"/>
              <w:rPr>
                <w:rFonts w:cs="Arial"/>
                <w:sz w:val="18"/>
                <w:szCs w:val="18"/>
              </w:rPr>
            </w:pPr>
            <w:r w:rsidRPr="00221EE9">
              <w:rPr>
                <w:rFonts w:cs="Arial"/>
                <w:sz w:val="18"/>
                <w:szCs w:val="18"/>
              </w:rPr>
              <w:t xml:space="preserve">For derivatives exposures, </w:t>
            </w:r>
            <w:r>
              <w:rPr>
                <w:rFonts w:cs="Arial"/>
                <w:sz w:val="18"/>
                <w:szCs w:val="18"/>
              </w:rPr>
              <w:t>did</w:t>
            </w:r>
            <w:r w:rsidRPr="00221EE9">
              <w:rPr>
                <w:rFonts w:cs="Arial"/>
                <w:sz w:val="18"/>
                <w:szCs w:val="18"/>
              </w:rPr>
              <w:t xml:space="preserve"> management take appropriate steps to determine whether adherence to</w:t>
            </w:r>
            <w:r>
              <w:rPr>
                <w:rFonts w:cs="Arial"/>
                <w:sz w:val="18"/>
                <w:szCs w:val="18"/>
              </w:rPr>
              <w:t xml:space="preserve"> the</w:t>
            </w:r>
            <w:r w:rsidRPr="00221EE9">
              <w:rPr>
                <w:rFonts w:cs="Arial"/>
                <w:sz w:val="18"/>
                <w:szCs w:val="18"/>
              </w:rPr>
              <w:t xml:space="preserve"> </w:t>
            </w:r>
            <w:r w:rsidRPr="00557CC1">
              <w:rPr>
                <w:rFonts w:cs="Arial"/>
                <w:sz w:val="18"/>
                <w:szCs w:val="18"/>
              </w:rPr>
              <w:t>International Swaps and Derivatives Association</w:t>
            </w:r>
            <w:r w:rsidRPr="00221EE9">
              <w:rPr>
                <w:rFonts w:cs="Arial"/>
                <w:sz w:val="18"/>
                <w:szCs w:val="18"/>
              </w:rPr>
              <w:t>’s new contract provisions is feasible?</w:t>
            </w:r>
          </w:p>
        </w:tc>
        <w:tc>
          <w:tcPr>
            <w:tcW w:w="1554" w:type="dxa"/>
          </w:tcPr>
          <w:p w14:paraId="4485DC0B" w14:textId="77777777" w:rsidR="001966A5" w:rsidRDefault="0046342C" w:rsidP="001966A5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63330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966A5">
              <w:rPr>
                <w:rFonts w:eastAsia="CG Omega" w:cs="Arial"/>
                <w:sz w:val="18"/>
                <w:szCs w:val="18"/>
              </w:rPr>
              <w:t xml:space="preserve"> Yes</w:t>
            </w:r>
          </w:p>
          <w:p w14:paraId="5E576B89" w14:textId="77777777" w:rsidR="001966A5" w:rsidRPr="00701682" w:rsidRDefault="0046342C" w:rsidP="001966A5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-44229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966A5">
              <w:rPr>
                <w:rFonts w:eastAsia="CG Omega" w:cs="Arial"/>
                <w:sz w:val="18"/>
                <w:szCs w:val="18"/>
              </w:rPr>
              <w:t xml:space="preserve"> No</w:t>
            </w:r>
          </w:p>
        </w:tc>
        <w:tc>
          <w:tcPr>
            <w:tcW w:w="2880" w:type="dxa"/>
          </w:tcPr>
          <w:p w14:paraId="5AC542EE" w14:textId="77777777" w:rsidR="001966A5" w:rsidRPr="00701682" w:rsidRDefault="001966A5" w:rsidP="001966A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1966A5" w:rsidRPr="00701682" w14:paraId="16245C45" w14:textId="77777777" w:rsidTr="009F0C47">
        <w:trPr>
          <w:cantSplit/>
          <w:trHeight w:val="350"/>
        </w:trPr>
        <w:tc>
          <w:tcPr>
            <w:tcW w:w="4926" w:type="dxa"/>
          </w:tcPr>
          <w:p w14:paraId="565245F8" w14:textId="77777777" w:rsidR="001966A5" w:rsidRPr="00221EE9" w:rsidRDefault="001966A5" w:rsidP="001966A5">
            <w:pPr>
              <w:pStyle w:val="ListParagraph"/>
              <w:numPr>
                <w:ilvl w:val="0"/>
                <w:numId w:val="5"/>
              </w:numPr>
              <w:spacing w:before="40" w:after="40"/>
              <w:rPr>
                <w:rFonts w:cs="Arial"/>
                <w:sz w:val="18"/>
                <w:szCs w:val="18"/>
              </w:rPr>
            </w:pPr>
            <w:r w:rsidRPr="00221EE9">
              <w:rPr>
                <w:rFonts w:cs="Arial"/>
                <w:sz w:val="18"/>
                <w:szCs w:val="18"/>
              </w:rPr>
              <w:t>Has management identified fallback language for legacy contracts?</w:t>
            </w:r>
          </w:p>
        </w:tc>
        <w:tc>
          <w:tcPr>
            <w:tcW w:w="1554" w:type="dxa"/>
          </w:tcPr>
          <w:p w14:paraId="2D5314EF" w14:textId="77777777" w:rsidR="001966A5" w:rsidRDefault="0046342C" w:rsidP="001966A5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-73616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966A5">
              <w:rPr>
                <w:rFonts w:eastAsia="CG Omega" w:cs="Arial"/>
                <w:sz w:val="18"/>
                <w:szCs w:val="18"/>
              </w:rPr>
              <w:t xml:space="preserve"> Yes</w:t>
            </w:r>
          </w:p>
          <w:p w14:paraId="6756E67E" w14:textId="77777777" w:rsidR="001966A5" w:rsidRPr="00701682" w:rsidRDefault="0046342C" w:rsidP="001966A5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-46088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966A5">
              <w:rPr>
                <w:rFonts w:eastAsia="CG Omega" w:cs="Arial"/>
                <w:sz w:val="18"/>
                <w:szCs w:val="18"/>
              </w:rPr>
              <w:t xml:space="preserve"> No</w:t>
            </w:r>
          </w:p>
        </w:tc>
        <w:tc>
          <w:tcPr>
            <w:tcW w:w="2880" w:type="dxa"/>
          </w:tcPr>
          <w:p w14:paraId="0BD56F88" w14:textId="77777777" w:rsidR="001966A5" w:rsidRPr="00701682" w:rsidRDefault="001966A5" w:rsidP="001966A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1966A5" w:rsidRPr="00701682" w14:paraId="410B96BC" w14:textId="77777777" w:rsidTr="009F0C47">
        <w:trPr>
          <w:cantSplit/>
          <w:trHeight w:val="350"/>
        </w:trPr>
        <w:tc>
          <w:tcPr>
            <w:tcW w:w="4926" w:type="dxa"/>
          </w:tcPr>
          <w:p w14:paraId="0BF48ED3" w14:textId="22E2ECBF" w:rsidR="001966A5" w:rsidRPr="00221EE9" w:rsidRDefault="001966A5" w:rsidP="001966A5">
            <w:pPr>
              <w:pStyle w:val="ListParagraph"/>
              <w:numPr>
                <w:ilvl w:val="0"/>
                <w:numId w:val="5"/>
              </w:numPr>
              <w:spacing w:before="40" w:after="40"/>
              <w:rPr>
                <w:rFonts w:cs="Arial"/>
                <w:sz w:val="18"/>
                <w:szCs w:val="18"/>
              </w:rPr>
            </w:pPr>
            <w:r w:rsidRPr="00221EE9">
              <w:rPr>
                <w:rFonts w:cs="Arial"/>
                <w:sz w:val="18"/>
                <w:szCs w:val="18"/>
              </w:rPr>
              <w:t>Did management determine the laws and regulations applicable to contract negotiations</w:t>
            </w:r>
            <w:r>
              <w:rPr>
                <w:rFonts w:cs="Arial"/>
                <w:sz w:val="18"/>
                <w:szCs w:val="18"/>
              </w:rPr>
              <w:t xml:space="preserve"> and implement controls for compliance during negotiations</w:t>
            </w:r>
            <w:r w:rsidRPr="00221EE9"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1554" w:type="dxa"/>
          </w:tcPr>
          <w:p w14:paraId="4017DA44" w14:textId="77777777" w:rsidR="001966A5" w:rsidRDefault="0046342C" w:rsidP="001966A5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28863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966A5">
              <w:rPr>
                <w:rFonts w:eastAsia="CG Omega" w:cs="Arial"/>
                <w:sz w:val="18"/>
                <w:szCs w:val="18"/>
              </w:rPr>
              <w:t xml:space="preserve"> Yes</w:t>
            </w:r>
          </w:p>
          <w:p w14:paraId="6E1D4395" w14:textId="77777777" w:rsidR="001966A5" w:rsidRPr="00701682" w:rsidRDefault="0046342C" w:rsidP="001966A5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-59193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966A5">
              <w:rPr>
                <w:rFonts w:eastAsia="CG Omega" w:cs="Arial"/>
                <w:sz w:val="18"/>
                <w:szCs w:val="18"/>
              </w:rPr>
              <w:t xml:space="preserve"> No</w:t>
            </w:r>
          </w:p>
        </w:tc>
        <w:tc>
          <w:tcPr>
            <w:tcW w:w="2880" w:type="dxa"/>
          </w:tcPr>
          <w:p w14:paraId="73B6A602" w14:textId="77777777" w:rsidR="001966A5" w:rsidRPr="00701682" w:rsidRDefault="001966A5" w:rsidP="001966A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1966A5" w:rsidRPr="00701682" w14:paraId="637433BA" w14:textId="77777777" w:rsidTr="009F0C47">
        <w:trPr>
          <w:cantSplit/>
          <w:trHeight w:val="350"/>
        </w:trPr>
        <w:tc>
          <w:tcPr>
            <w:tcW w:w="4926" w:type="dxa"/>
          </w:tcPr>
          <w:p w14:paraId="74A27572" w14:textId="1E9E8C8E" w:rsidR="001966A5" w:rsidRPr="00221EE9" w:rsidRDefault="001966A5" w:rsidP="001966A5">
            <w:pPr>
              <w:pStyle w:val="ListParagraph"/>
              <w:numPr>
                <w:ilvl w:val="0"/>
                <w:numId w:val="5"/>
              </w:num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Did management begin</w:t>
            </w:r>
            <w:r w:rsidRPr="00221EE9">
              <w:rPr>
                <w:rFonts w:cs="Arial"/>
                <w:sz w:val="18"/>
                <w:szCs w:val="18"/>
              </w:rPr>
              <w:t xml:space="preserve"> negotiat</w:t>
            </w:r>
            <w:r>
              <w:rPr>
                <w:rFonts w:cs="Arial"/>
                <w:sz w:val="18"/>
                <w:szCs w:val="18"/>
              </w:rPr>
              <w:t>ions to</w:t>
            </w:r>
            <w:r w:rsidRPr="00221EE9">
              <w:rPr>
                <w:rFonts w:cs="Arial"/>
                <w:sz w:val="18"/>
                <w:szCs w:val="18"/>
              </w:rPr>
              <w:t xml:space="preserve"> modify fallback language in legacy contracts?</w:t>
            </w:r>
            <w:r>
              <w:rPr>
                <w:rFonts w:cs="Arial"/>
                <w:sz w:val="18"/>
                <w:szCs w:val="18"/>
              </w:rPr>
              <w:t xml:space="preserve"> If not, are there plans to do so?</w:t>
            </w:r>
          </w:p>
        </w:tc>
        <w:tc>
          <w:tcPr>
            <w:tcW w:w="1554" w:type="dxa"/>
          </w:tcPr>
          <w:p w14:paraId="17809DBD" w14:textId="77777777" w:rsidR="001966A5" w:rsidRDefault="0046342C" w:rsidP="001966A5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109243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966A5">
              <w:rPr>
                <w:rFonts w:eastAsia="CG Omega" w:cs="Arial"/>
                <w:sz w:val="18"/>
                <w:szCs w:val="18"/>
              </w:rPr>
              <w:t xml:space="preserve"> Yes</w:t>
            </w:r>
          </w:p>
          <w:p w14:paraId="3C3010EF" w14:textId="77777777" w:rsidR="001966A5" w:rsidRPr="00701682" w:rsidRDefault="0046342C" w:rsidP="001966A5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-96588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966A5">
              <w:rPr>
                <w:rFonts w:eastAsia="CG Omega" w:cs="Arial"/>
                <w:sz w:val="18"/>
                <w:szCs w:val="18"/>
              </w:rPr>
              <w:t xml:space="preserve"> No</w:t>
            </w:r>
          </w:p>
        </w:tc>
        <w:tc>
          <w:tcPr>
            <w:tcW w:w="2880" w:type="dxa"/>
          </w:tcPr>
          <w:p w14:paraId="1B068049" w14:textId="77777777" w:rsidR="001966A5" w:rsidRPr="00701682" w:rsidRDefault="001966A5" w:rsidP="001966A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1966A5" w:rsidRPr="00701682" w14:paraId="42CEB831" w14:textId="77777777" w:rsidTr="009F0C47">
        <w:trPr>
          <w:cantSplit/>
          <w:trHeight w:val="503"/>
        </w:trPr>
        <w:tc>
          <w:tcPr>
            <w:tcW w:w="4926" w:type="dxa"/>
          </w:tcPr>
          <w:p w14:paraId="7BF16426" w14:textId="2B6C7631" w:rsidR="001966A5" w:rsidRPr="00E159BA" w:rsidRDefault="001966A5" w:rsidP="001966A5">
            <w:pPr>
              <w:pStyle w:val="Default"/>
              <w:numPr>
                <w:ilvl w:val="0"/>
                <w:numId w:val="5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management</w:t>
            </w:r>
            <w:r w:rsidRPr="00221EE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using</w:t>
            </w:r>
            <w:r w:rsidRPr="00221EE9">
              <w:rPr>
                <w:rFonts w:ascii="Arial" w:hAnsi="Arial" w:cs="Arial"/>
                <w:sz w:val="18"/>
                <w:szCs w:val="18"/>
              </w:rPr>
              <w:t xml:space="preserve"> robust fallback language</w:t>
            </w:r>
            <w:r>
              <w:rPr>
                <w:rFonts w:ascii="Arial" w:hAnsi="Arial" w:cs="Arial"/>
                <w:sz w:val="18"/>
                <w:szCs w:val="18"/>
              </w:rPr>
              <w:t xml:space="preserve"> when executing new contracts</w:t>
            </w:r>
            <w:r w:rsidRPr="00221EE9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54" w:type="dxa"/>
          </w:tcPr>
          <w:p w14:paraId="769BF020" w14:textId="77777777" w:rsidR="001966A5" w:rsidRDefault="0046342C" w:rsidP="001966A5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76696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966A5">
              <w:rPr>
                <w:rFonts w:eastAsia="CG Omega" w:cs="Arial"/>
                <w:sz w:val="18"/>
                <w:szCs w:val="18"/>
              </w:rPr>
              <w:t xml:space="preserve"> Yes</w:t>
            </w:r>
          </w:p>
          <w:p w14:paraId="5757F23C" w14:textId="77777777" w:rsidR="001966A5" w:rsidRPr="00701682" w:rsidRDefault="0046342C" w:rsidP="001966A5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55643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966A5">
              <w:rPr>
                <w:rFonts w:eastAsia="CG Omega" w:cs="Arial"/>
                <w:sz w:val="18"/>
                <w:szCs w:val="18"/>
              </w:rPr>
              <w:t xml:space="preserve"> No</w:t>
            </w:r>
          </w:p>
        </w:tc>
        <w:tc>
          <w:tcPr>
            <w:tcW w:w="2880" w:type="dxa"/>
          </w:tcPr>
          <w:p w14:paraId="63F4D650" w14:textId="77777777" w:rsidR="001966A5" w:rsidRPr="00701682" w:rsidRDefault="001966A5" w:rsidP="001966A5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bookmarkEnd w:id="1"/>
      <w:tr w:rsidR="001966A5" w:rsidRPr="00701682" w14:paraId="4CDBD3BF" w14:textId="77777777" w:rsidTr="009F0C47">
        <w:tc>
          <w:tcPr>
            <w:tcW w:w="9360" w:type="dxa"/>
            <w:gridSpan w:val="3"/>
            <w:vAlign w:val="center"/>
          </w:tcPr>
          <w:p w14:paraId="0F7D16AE" w14:textId="37179AE9" w:rsidR="001966A5" w:rsidRPr="00221EE9" w:rsidRDefault="001966A5" w:rsidP="001966A5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21EE9">
              <w:rPr>
                <w:rFonts w:cs="Arial"/>
                <w:b/>
                <w:bCs/>
                <w:sz w:val="18"/>
                <w:szCs w:val="18"/>
              </w:rPr>
              <w:t xml:space="preserve">Progress and </w:t>
            </w:r>
            <w:r w:rsidR="00D87861">
              <w:rPr>
                <w:rFonts w:cs="Arial"/>
                <w:b/>
                <w:bCs/>
                <w:sz w:val="18"/>
                <w:szCs w:val="18"/>
              </w:rPr>
              <w:t>o</w:t>
            </w:r>
            <w:r w:rsidRPr="00221EE9">
              <w:rPr>
                <w:rFonts w:cs="Arial"/>
                <w:b/>
                <w:bCs/>
                <w:sz w:val="18"/>
                <w:szCs w:val="18"/>
              </w:rPr>
              <w:t>versight</w:t>
            </w:r>
          </w:p>
        </w:tc>
      </w:tr>
      <w:tr w:rsidR="001966A5" w:rsidRPr="00701682" w14:paraId="212CD424" w14:textId="77777777" w:rsidTr="009F0C47">
        <w:trPr>
          <w:trHeight w:val="593"/>
        </w:trPr>
        <w:tc>
          <w:tcPr>
            <w:tcW w:w="4926" w:type="dxa"/>
          </w:tcPr>
          <w:p w14:paraId="28572B9E" w14:textId="14A71711" w:rsidR="001966A5" w:rsidRPr="00701682" w:rsidRDefault="001966A5" w:rsidP="001966A5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r w:rsidRPr="00BF385F">
              <w:rPr>
                <w:rFonts w:eastAsia="CG Omega" w:cs="Arial"/>
                <w:b/>
                <w:bCs/>
                <w:sz w:val="18"/>
                <w:szCs w:val="18"/>
              </w:rPr>
              <w:t>Objective:</w:t>
            </w:r>
            <w:r w:rsidRPr="00BF385F">
              <w:rPr>
                <w:rFonts w:eastAsia="CG Omega" w:cs="Arial"/>
                <w:sz w:val="18"/>
                <w:szCs w:val="18"/>
              </w:rPr>
              <w:t xml:space="preserve"> </w:t>
            </w:r>
            <w:r>
              <w:rPr>
                <w:rFonts w:eastAsia="CG Omega" w:cs="Arial"/>
                <w:sz w:val="18"/>
                <w:szCs w:val="18"/>
              </w:rPr>
              <w:t xml:space="preserve">Is </w:t>
            </w:r>
            <w:r w:rsidRPr="00BF385F">
              <w:rPr>
                <w:rFonts w:eastAsia="CG Omega" w:cs="Arial"/>
                <w:sz w:val="18"/>
                <w:szCs w:val="18"/>
              </w:rPr>
              <w:t xml:space="preserve">progress toward </w:t>
            </w:r>
            <w:r w:rsidR="00332607">
              <w:rPr>
                <w:rFonts w:eastAsia="CG Omega" w:cs="Arial"/>
                <w:sz w:val="18"/>
                <w:szCs w:val="18"/>
              </w:rPr>
              <w:t>LIBOR</w:t>
            </w:r>
            <w:r w:rsidRPr="00BF385F">
              <w:rPr>
                <w:rFonts w:eastAsia="CG Omega" w:cs="Arial"/>
                <w:sz w:val="18"/>
                <w:szCs w:val="18"/>
              </w:rPr>
              <w:t xml:space="preserve"> cessation preparedness</w:t>
            </w:r>
            <w:r>
              <w:rPr>
                <w:rFonts w:eastAsia="CG Omega" w:cs="Arial"/>
                <w:sz w:val="18"/>
                <w:szCs w:val="18"/>
              </w:rPr>
              <w:t xml:space="preserve"> sufficient given the size and complexity of risk exposures</w:t>
            </w:r>
            <w:r w:rsidRPr="00BF385F">
              <w:rPr>
                <w:rFonts w:eastAsia="CG Omega" w:cs="Arial"/>
                <w:sz w:val="18"/>
                <w:szCs w:val="18"/>
              </w:rPr>
              <w:t>?</w:t>
            </w:r>
            <w:r>
              <w:rPr>
                <w:rFonts w:eastAsia="CG Omega" w:cs="Arial"/>
                <w:sz w:val="18"/>
                <w:szCs w:val="18"/>
              </w:rPr>
              <w:t xml:space="preserve"> Consider in your assessment:</w:t>
            </w:r>
          </w:p>
        </w:tc>
        <w:tc>
          <w:tcPr>
            <w:tcW w:w="1554" w:type="dxa"/>
          </w:tcPr>
          <w:p w14:paraId="33310F16" w14:textId="078CC1C5" w:rsidR="001966A5" w:rsidRDefault="0046342C" w:rsidP="001966A5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173211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966A5">
              <w:rPr>
                <w:rFonts w:eastAsia="CG Omega" w:cs="Arial"/>
                <w:sz w:val="18"/>
                <w:szCs w:val="18"/>
              </w:rPr>
              <w:t xml:space="preserve"> Yes</w:t>
            </w:r>
          </w:p>
          <w:p w14:paraId="7C1C8BCA" w14:textId="6F58DC81" w:rsidR="001966A5" w:rsidRPr="00701682" w:rsidRDefault="0046342C" w:rsidP="001966A5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86780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966A5">
              <w:rPr>
                <w:rFonts w:eastAsia="CG Omega" w:cs="Arial"/>
                <w:sz w:val="18"/>
                <w:szCs w:val="18"/>
              </w:rPr>
              <w:t xml:space="preserve"> No</w:t>
            </w:r>
          </w:p>
        </w:tc>
        <w:tc>
          <w:tcPr>
            <w:tcW w:w="2880" w:type="dxa"/>
          </w:tcPr>
          <w:p w14:paraId="6E2BCB8D" w14:textId="77777777" w:rsidR="001966A5" w:rsidRPr="00701682" w:rsidRDefault="001966A5" w:rsidP="001966A5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r>
              <w:rPr>
                <w:rFonts w:eastAsia="CG Omega" w:cs="Arial"/>
                <w:sz w:val="18"/>
                <w:szCs w:val="18"/>
              </w:rPr>
              <w:t xml:space="preserve">Comments: </w:t>
            </w:r>
          </w:p>
        </w:tc>
      </w:tr>
      <w:tr w:rsidR="001966A5" w:rsidRPr="00701682" w14:paraId="64EEA092" w14:textId="77777777" w:rsidTr="009F0C47">
        <w:tc>
          <w:tcPr>
            <w:tcW w:w="4926" w:type="dxa"/>
          </w:tcPr>
          <w:p w14:paraId="4FD31C8E" w14:textId="77777777" w:rsidR="001966A5" w:rsidRPr="00BF385F" w:rsidRDefault="001966A5" w:rsidP="001966A5">
            <w:pPr>
              <w:pStyle w:val="ListParagraph"/>
              <w:numPr>
                <w:ilvl w:val="0"/>
                <w:numId w:val="6"/>
              </w:numPr>
              <w:spacing w:before="40" w:after="40"/>
              <w:contextualSpacing w:val="0"/>
              <w:rPr>
                <w:rFonts w:eastAsia="CG Omega" w:cs="Arial"/>
                <w:sz w:val="18"/>
                <w:szCs w:val="18"/>
              </w:rPr>
            </w:pPr>
            <w:r w:rsidRPr="00BF385F">
              <w:rPr>
                <w:rFonts w:eastAsia="CG Omega" w:cs="Arial"/>
                <w:sz w:val="18"/>
                <w:szCs w:val="18"/>
              </w:rPr>
              <w:t>Is the bank on track in implementing its plans?</w:t>
            </w:r>
          </w:p>
        </w:tc>
        <w:tc>
          <w:tcPr>
            <w:tcW w:w="1554" w:type="dxa"/>
          </w:tcPr>
          <w:p w14:paraId="70FB4541" w14:textId="7AE0C17F" w:rsidR="001966A5" w:rsidRDefault="0046342C" w:rsidP="001966A5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143695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966A5">
              <w:rPr>
                <w:rFonts w:eastAsia="CG Omega" w:cs="Arial"/>
                <w:sz w:val="18"/>
                <w:szCs w:val="18"/>
              </w:rPr>
              <w:t xml:space="preserve"> Yes</w:t>
            </w:r>
          </w:p>
          <w:p w14:paraId="729CCE5D" w14:textId="25CC343D" w:rsidR="001966A5" w:rsidRPr="00701682" w:rsidRDefault="0046342C" w:rsidP="001966A5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-122659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966A5">
              <w:rPr>
                <w:rFonts w:eastAsia="CG Omega" w:cs="Arial"/>
                <w:sz w:val="18"/>
                <w:szCs w:val="18"/>
              </w:rPr>
              <w:t xml:space="preserve"> No</w:t>
            </w:r>
          </w:p>
        </w:tc>
        <w:tc>
          <w:tcPr>
            <w:tcW w:w="2880" w:type="dxa"/>
          </w:tcPr>
          <w:p w14:paraId="04A5BA74" w14:textId="77777777" w:rsidR="001966A5" w:rsidRPr="00701682" w:rsidRDefault="001966A5" w:rsidP="001966A5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</w:p>
        </w:tc>
      </w:tr>
      <w:tr w:rsidR="001966A5" w:rsidRPr="00701682" w14:paraId="074258D1" w14:textId="77777777" w:rsidTr="009F0C47">
        <w:tc>
          <w:tcPr>
            <w:tcW w:w="4926" w:type="dxa"/>
          </w:tcPr>
          <w:p w14:paraId="3192F63A" w14:textId="01A61909" w:rsidR="001966A5" w:rsidRPr="00BF385F" w:rsidRDefault="001966A5" w:rsidP="001966A5">
            <w:pPr>
              <w:pStyle w:val="ListParagraph"/>
              <w:numPr>
                <w:ilvl w:val="0"/>
                <w:numId w:val="6"/>
              </w:numPr>
              <w:spacing w:before="40" w:after="40"/>
              <w:contextualSpacing w:val="0"/>
              <w:rPr>
                <w:rFonts w:eastAsia="CG Omega" w:cs="Arial"/>
                <w:sz w:val="18"/>
                <w:szCs w:val="18"/>
              </w:rPr>
            </w:pPr>
            <w:r>
              <w:rPr>
                <w:rFonts w:eastAsia="CG Omega" w:cs="Arial"/>
                <w:sz w:val="18"/>
                <w:szCs w:val="18"/>
              </w:rPr>
              <w:t>Is management</w:t>
            </w:r>
            <w:r w:rsidRPr="00D477AD">
              <w:rPr>
                <w:rFonts w:eastAsia="CG Omega" w:cs="Arial"/>
                <w:sz w:val="18"/>
                <w:szCs w:val="18"/>
              </w:rPr>
              <w:t xml:space="preserve"> implement</w:t>
            </w:r>
            <w:r>
              <w:rPr>
                <w:rFonts w:eastAsia="CG Omega" w:cs="Arial"/>
                <w:sz w:val="18"/>
                <w:szCs w:val="18"/>
              </w:rPr>
              <w:t>ing</w:t>
            </w:r>
            <w:r w:rsidRPr="00D477AD">
              <w:rPr>
                <w:rFonts w:eastAsia="CG Omega" w:cs="Arial"/>
                <w:sz w:val="18"/>
                <w:szCs w:val="18"/>
              </w:rPr>
              <w:t xml:space="preserve"> a strategy to identify, monitor, resolve</w:t>
            </w:r>
            <w:r>
              <w:rPr>
                <w:rFonts w:eastAsia="CG Omega" w:cs="Arial"/>
                <w:sz w:val="18"/>
                <w:szCs w:val="18"/>
              </w:rPr>
              <w:t>, and test</w:t>
            </w:r>
            <w:r w:rsidRPr="00D477AD">
              <w:rPr>
                <w:rFonts w:eastAsia="CG Omega" w:cs="Arial"/>
                <w:sz w:val="18"/>
                <w:szCs w:val="18"/>
              </w:rPr>
              <w:t xml:space="preserve"> system and infrastructure constraints?</w:t>
            </w:r>
          </w:p>
        </w:tc>
        <w:tc>
          <w:tcPr>
            <w:tcW w:w="1554" w:type="dxa"/>
          </w:tcPr>
          <w:p w14:paraId="6DFCEC34" w14:textId="1C519175" w:rsidR="001966A5" w:rsidRDefault="0046342C" w:rsidP="001966A5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-45216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966A5">
              <w:rPr>
                <w:rFonts w:eastAsia="CG Omega" w:cs="Arial"/>
                <w:sz w:val="18"/>
                <w:szCs w:val="18"/>
              </w:rPr>
              <w:t xml:space="preserve"> Yes</w:t>
            </w:r>
          </w:p>
          <w:p w14:paraId="1AFE7EA1" w14:textId="12B88B47" w:rsidR="001966A5" w:rsidRPr="00701682" w:rsidRDefault="0046342C" w:rsidP="001966A5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64494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966A5">
              <w:rPr>
                <w:rFonts w:eastAsia="CG Omega" w:cs="Arial"/>
                <w:sz w:val="18"/>
                <w:szCs w:val="18"/>
              </w:rPr>
              <w:t xml:space="preserve"> No</w:t>
            </w:r>
          </w:p>
        </w:tc>
        <w:tc>
          <w:tcPr>
            <w:tcW w:w="2880" w:type="dxa"/>
          </w:tcPr>
          <w:p w14:paraId="304CA428" w14:textId="77777777" w:rsidR="001966A5" w:rsidRPr="00701682" w:rsidRDefault="001966A5" w:rsidP="001966A5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</w:p>
        </w:tc>
      </w:tr>
      <w:tr w:rsidR="001966A5" w:rsidRPr="00701682" w14:paraId="54BFD65F" w14:textId="77777777" w:rsidTr="009F0C47">
        <w:tc>
          <w:tcPr>
            <w:tcW w:w="4926" w:type="dxa"/>
          </w:tcPr>
          <w:p w14:paraId="17560BF1" w14:textId="77777777" w:rsidR="001966A5" w:rsidRPr="00D477AD" w:rsidRDefault="001966A5" w:rsidP="001966A5">
            <w:pPr>
              <w:pStyle w:val="ListParagraph"/>
              <w:numPr>
                <w:ilvl w:val="0"/>
                <w:numId w:val="6"/>
              </w:numPr>
              <w:spacing w:before="40" w:after="40"/>
              <w:contextualSpacing w:val="0"/>
              <w:rPr>
                <w:rFonts w:eastAsia="CG Omega" w:cs="Arial"/>
                <w:sz w:val="18"/>
                <w:szCs w:val="18"/>
              </w:rPr>
            </w:pPr>
            <w:r w:rsidRPr="00D477AD">
              <w:rPr>
                <w:rFonts w:cs="Arial"/>
                <w:sz w:val="18"/>
                <w:szCs w:val="18"/>
              </w:rPr>
              <w:t>Has management begun to make the updates needed to bank policies, processes, personnel, and control systems?</w:t>
            </w:r>
          </w:p>
        </w:tc>
        <w:tc>
          <w:tcPr>
            <w:tcW w:w="1554" w:type="dxa"/>
          </w:tcPr>
          <w:p w14:paraId="5B14D100" w14:textId="31471236" w:rsidR="001966A5" w:rsidRDefault="0046342C" w:rsidP="001966A5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117144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966A5">
              <w:rPr>
                <w:rFonts w:eastAsia="CG Omega" w:cs="Arial"/>
                <w:sz w:val="18"/>
                <w:szCs w:val="18"/>
              </w:rPr>
              <w:t xml:space="preserve"> Yes</w:t>
            </w:r>
          </w:p>
          <w:p w14:paraId="48A2CC89" w14:textId="77777777" w:rsidR="001966A5" w:rsidRDefault="0046342C" w:rsidP="001966A5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  <w:sdt>
              <w:sdtPr>
                <w:rPr>
                  <w:rFonts w:eastAsia="CG Omega" w:cs="Arial"/>
                  <w:sz w:val="18"/>
                  <w:szCs w:val="18"/>
                </w:rPr>
                <w:id w:val="161301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6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966A5">
              <w:rPr>
                <w:rFonts w:eastAsia="CG Omega" w:cs="Arial"/>
                <w:sz w:val="18"/>
                <w:szCs w:val="18"/>
              </w:rPr>
              <w:t xml:space="preserve"> No</w:t>
            </w:r>
          </w:p>
        </w:tc>
        <w:tc>
          <w:tcPr>
            <w:tcW w:w="2880" w:type="dxa"/>
          </w:tcPr>
          <w:p w14:paraId="288D6DF3" w14:textId="77777777" w:rsidR="001966A5" w:rsidRPr="00701682" w:rsidRDefault="001966A5" w:rsidP="001966A5">
            <w:pPr>
              <w:spacing w:before="40" w:after="40"/>
              <w:rPr>
                <w:rFonts w:eastAsia="CG Omega" w:cs="Arial"/>
                <w:sz w:val="18"/>
                <w:szCs w:val="18"/>
              </w:rPr>
            </w:pPr>
          </w:p>
        </w:tc>
      </w:tr>
    </w:tbl>
    <w:p w14:paraId="3F26C196" w14:textId="77777777" w:rsidR="0092309C" w:rsidRDefault="0092309C"/>
    <w:sectPr w:rsidR="0092309C" w:rsidSect="00C05939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444DB" w14:textId="77777777" w:rsidR="00723A90" w:rsidRDefault="00723A90" w:rsidP="009C5CF1">
      <w:r>
        <w:separator/>
      </w:r>
    </w:p>
  </w:endnote>
  <w:endnote w:type="continuationSeparator" w:id="0">
    <w:p w14:paraId="2FA2B8AF" w14:textId="77777777" w:rsidR="00723A90" w:rsidRDefault="00723A90" w:rsidP="009C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1688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19C0A6" w14:textId="26044525" w:rsidR="00C05939" w:rsidRDefault="00C05939" w:rsidP="00C478AD">
        <w:pPr>
          <w:pStyle w:val="Footer"/>
          <w:tabs>
            <w:tab w:val="clear" w:pos="4680"/>
          </w:tabs>
        </w:pPr>
        <w:r>
          <w:t>Attachment to OCC Bulletin 2021-</w:t>
        </w:r>
        <w:r w:rsidR="0046342C">
          <w:t>46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DF768" w14:textId="77777777" w:rsidR="00723A90" w:rsidRDefault="00723A90" w:rsidP="009C5CF1">
      <w:r>
        <w:separator/>
      </w:r>
    </w:p>
  </w:footnote>
  <w:footnote w:type="continuationSeparator" w:id="0">
    <w:p w14:paraId="7254AB5E" w14:textId="77777777" w:rsidR="00723A90" w:rsidRDefault="00723A90" w:rsidP="009C5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2B881" w14:textId="77777777" w:rsidR="009C5CF1" w:rsidRDefault="009C5CF1" w:rsidP="009C5CF1">
    <w:pPr>
      <w:jc w:val="right"/>
      <w:rPr>
        <w:rFonts w:eastAsiaTheme="minorHAnsi"/>
        <w:color w:val="000000"/>
        <w:szCs w:val="24"/>
      </w:rPr>
    </w:pPr>
    <w:r w:rsidRPr="00C478AD">
      <w:rPr>
        <w:rFonts w:eastAsiaTheme="minorHAnsi"/>
        <w:b/>
        <w:bCs/>
        <w:color w:val="000000"/>
        <w:szCs w:val="24"/>
      </w:rPr>
      <w:t xml:space="preserve">OMB </w:t>
    </w:r>
    <w:r>
      <w:rPr>
        <w:rFonts w:eastAsiaTheme="minorHAnsi"/>
        <w:b/>
        <w:bCs/>
        <w:color w:val="000000"/>
        <w:szCs w:val="24"/>
      </w:rPr>
      <w:t>C</w:t>
    </w:r>
    <w:r w:rsidRPr="00C478AD">
      <w:rPr>
        <w:rFonts w:eastAsiaTheme="minorHAnsi"/>
        <w:b/>
        <w:bCs/>
        <w:color w:val="000000"/>
        <w:szCs w:val="24"/>
      </w:rPr>
      <w:t xml:space="preserve">ontrol </w:t>
    </w:r>
    <w:r>
      <w:rPr>
        <w:rFonts w:eastAsiaTheme="minorHAnsi"/>
        <w:b/>
        <w:bCs/>
        <w:color w:val="000000"/>
        <w:szCs w:val="24"/>
      </w:rPr>
      <w:t>No.</w:t>
    </w:r>
    <w:r w:rsidRPr="00C478AD">
      <w:rPr>
        <w:rFonts w:eastAsiaTheme="minorHAnsi"/>
        <w:b/>
        <w:bCs/>
        <w:color w:val="000000"/>
        <w:szCs w:val="24"/>
      </w:rPr>
      <w:t>:</w:t>
    </w:r>
    <w:r w:rsidRPr="00DE2EFE">
      <w:rPr>
        <w:rFonts w:eastAsiaTheme="minorHAnsi"/>
        <w:color w:val="000000"/>
        <w:szCs w:val="24"/>
      </w:rPr>
      <w:t xml:space="preserve"> 1557-0349</w:t>
    </w:r>
  </w:p>
  <w:p w14:paraId="766CDB2A" w14:textId="4167EF6F" w:rsidR="009C5CF1" w:rsidRPr="009C5CF1" w:rsidRDefault="009C5CF1" w:rsidP="009C5CF1">
    <w:pPr>
      <w:jc w:val="right"/>
      <w:rPr>
        <w:rFonts w:eastAsiaTheme="minorHAnsi"/>
        <w:color w:val="000000"/>
        <w:szCs w:val="24"/>
      </w:rPr>
    </w:pPr>
    <w:r w:rsidRPr="00C478AD">
      <w:rPr>
        <w:rFonts w:eastAsiaTheme="minorHAnsi"/>
        <w:b/>
        <w:bCs/>
        <w:color w:val="000000"/>
        <w:szCs w:val="24"/>
      </w:rPr>
      <w:t xml:space="preserve">Expiration </w:t>
    </w:r>
    <w:r>
      <w:rPr>
        <w:rFonts w:eastAsiaTheme="minorHAnsi"/>
        <w:b/>
        <w:bCs/>
        <w:color w:val="000000"/>
        <w:szCs w:val="24"/>
      </w:rPr>
      <w:t>D</w:t>
    </w:r>
    <w:r w:rsidRPr="00C478AD">
      <w:rPr>
        <w:rFonts w:eastAsiaTheme="minorHAnsi"/>
        <w:b/>
        <w:bCs/>
        <w:color w:val="000000"/>
        <w:szCs w:val="24"/>
      </w:rPr>
      <w:t>ate:</w:t>
    </w:r>
    <w:r w:rsidRPr="00DE2EFE">
      <w:rPr>
        <w:rFonts w:eastAsiaTheme="minorHAnsi"/>
        <w:color w:val="000000"/>
        <w:szCs w:val="24"/>
      </w:rPr>
      <w:t xml:space="preserve"> </w:t>
    </w:r>
    <w:r>
      <w:rPr>
        <w:rFonts w:eastAsiaTheme="minorHAnsi"/>
        <w:color w:val="000000"/>
        <w:szCs w:val="24"/>
      </w:rPr>
      <w:t>0</w:t>
    </w:r>
    <w:r w:rsidR="00B00D27">
      <w:rPr>
        <w:rFonts w:eastAsiaTheme="minorHAnsi"/>
        <w:color w:val="000000"/>
        <w:szCs w:val="24"/>
      </w:rPr>
      <w:t>2</w:t>
    </w:r>
    <w:r>
      <w:rPr>
        <w:rFonts w:eastAsiaTheme="minorHAnsi"/>
        <w:color w:val="000000"/>
        <w:szCs w:val="24"/>
      </w:rPr>
      <w:t>/</w:t>
    </w:r>
    <w:r w:rsidR="00B00D27">
      <w:rPr>
        <w:rFonts w:eastAsiaTheme="minorHAnsi"/>
        <w:color w:val="000000"/>
        <w:szCs w:val="24"/>
      </w:rPr>
      <w:t>28</w:t>
    </w:r>
    <w:r>
      <w:rPr>
        <w:rFonts w:eastAsiaTheme="minorHAnsi"/>
        <w:color w:val="000000"/>
        <w:szCs w:val="24"/>
      </w:rPr>
      <w:t>/</w:t>
    </w:r>
    <w:r w:rsidRPr="00DE2EFE">
      <w:rPr>
        <w:rFonts w:eastAsiaTheme="minorHAnsi"/>
        <w:color w:val="000000"/>
        <w:szCs w:val="24"/>
      </w:rPr>
      <w:t>202</w:t>
    </w:r>
    <w:r w:rsidR="00B00D27">
      <w:rPr>
        <w:rFonts w:eastAsiaTheme="minorHAnsi"/>
        <w:color w:val="000000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DECC4" w14:textId="77777777" w:rsidR="00C05939" w:rsidRDefault="00C05939" w:rsidP="00C05939">
    <w:pPr>
      <w:jc w:val="right"/>
      <w:rPr>
        <w:rFonts w:eastAsiaTheme="minorHAnsi"/>
        <w:color w:val="000000"/>
        <w:szCs w:val="24"/>
      </w:rPr>
    </w:pPr>
    <w:r w:rsidRPr="009F0C47">
      <w:rPr>
        <w:rFonts w:eastAsiaTheme="minorHAnsi"/>
        <w:b/>
        <w:bCs/>
        <w:color w:val="000000"/>
        <w:szCs w:val="24"/>
      </w:rPr>
      <w:t xml:space="preserve">OMB </w:t>
    </w:r>
    <w:r>
      <w:rPr>
        <w:rFonts w:eastAsiaTheme="minorHAnsi"/>
        <w:b/>
        <w:bCs/>
        <w:color w:val="000000"/>
        <w:szCs w:val="24"/>
      </w:rPr>
      <w:t>C</w:t>
    </w:r>
    <w:r w:rsidRPr="009F0C47">
      <w:rPr>
        <w:rFonts w:eastAsiaTheme="minorHAnsi"/>
        <w:b/>
        <w:bCs/>
        <w:color w:val="000000"/>
        <w:szCs w:val="24"/>
      </w:rPr>
      <w:t xml:space="preserve">ontrol </w:t>
    </w:r>
    <w:r>
      <w:rPr>
        <w:rFonts w:eastAsiaTheme="minorHAnsi"/>
        <w:b/>
        <w:bCs/>
        <w:color w:val="000000"/>
        <w:szCs w:val="24"/>
      </w:rPr>
      <w:t>No.</w:t>
    </w:r>
    <w:r w:rsidRPr="009F0C47">
      <w:rPr>
        <w:rFonts w:eastAsiaTheme="minorHAnsi"/>
        <w:b/>
        <w:bCs/>
        <w:color w:val="000000"/>
        <w:szCs w:val="24"/>
      </w:rPr>
      <w:t>:</w:t>
    </w:r>
    <w:r w:rsidRPr="00DE2EFE">
      <w:rPr>
        <w:rFonts w:eastAsiaTheme="minorHAnsi"/>
        <w:color w:val="000000"/>
        <w:szCs w:val="24"/>
      </w:rPr>
      <w:t xml:space="preserve"> 1557-0349</w:t>
    </w:r>
  </w:p>
  <w:p w14:paraId="61062FFD" w14:textId="48F0CD54" w:rsidR="00C05939" w:rsidRPr="00C05939" w:rsidRDefault="00C05939" w:rsidP="00C478AD">
    <w:pPr>
      <w:pStyle w:val="Header"/>
      <w:jc w:val="right"/>
    </w:pPr>
    <w:r w:rsidRPr="009F0C47">
      <w:rPr>
        <w:rFonts w:eastAsiaTheme="minorHAnsi"/>
        <w:b/>
        <w:bCs/>
        <w:color w:val="000000"/>
        <w:szCs w:val="24"/>
      </w:rPr>
      <w:t xml:space="preserve">Expiration </w:t>
    </w:r>
    <w:r>
      <w:rPr>
        <w:rFonts w:eastAsiaTheme="minorHAnsi"/>
        <w:b/>
        <w:bCs/>
        <w:color w:val="000000"/>
        <w:szCs w:val="24"/>
      </w:rPr>
      <w:t>D</w:t>
    </w:r>
    <w:r w:rsidRPr="009F0C47">
      <w:rPr>
        <w:rFonts w:eastAsiaTheme="minorHAnsi"/>
        <w:b/>
        <w:bCs/>
        <w:color w:val="000000"/>
        <w:szCs w:val="24"/>
      </w:rPr>
      <w:t>ate:</w:t>
    </w:r>
    <w:r w:rsidRPr="00DE2EFE">
      <w:rPr>
        <w:rFonts w:eastAsiaTheme="minorHAnsi"/>
        <w:color w:val="000000"/>
        <w:szCs w:val="24"/>
      </w:rPr>
      <w:t xml:space="preserve"> </w:t>
    </w:r>
    <w:r>
      <w:rPr>
        <w:rFonts w:eastAsiaTheme="minorHAnsi"/>
        <w:color w:val="000000"/>
        <w:szCs w:val="24"/>
      </w:rPr>
      <w:t>07/31/</w:t>
    </w:r>
    <w:r w:rsidRPr="00DE2EFE">
      <w:rPr>
        <w:rFonts w:eastAsiaTheme="minorHAnsi"/>
        <w:color w:val="000000"/>
        <w:szCs w:val="24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A6D9E"/>
    <w:multiLevelType w:val="hybridMultilevel"/>
    <w:tmpl w:val="84B48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7F2164E">
      <w:start w:val="1"/>
      <w:numFmt w:val="lowerLetter"/>
      <w:lvlText w:val="%3."/>
      <w:lvlJc w:val="right"/>
      <w:pPr>
        <w:ind w:left="180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38122C"/>
    <w:multiLevelType w:val="hybridMultilevel"/>
    <w:tmpl w:val="134482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D61E08"/>
    <w:multiLevelType w:val="hybridMultilevel"/>
    <w:tmpl w:val="FD4A9C4A"/>
    <w:lvl w:ilvl="0" w:tplc="214CE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FA0E75"/>
    <w:multiLevelType w:val="hybridMultilevel"/>
    <w:tmpl w:val="AF40C7C4"/>
    <w:lvl w:ilvl="0" w:tplc="1D80264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C80A73"/>
    <w:multiLevelType w:val="hybridMultilevel"/>
    <w:tmpl w:val="567C5E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362850"/>
    <w:multiLevelType w:val="hybridMultilevel"/>
    <w:tmpl w:val="EDBE29D2"/>
    <w:lvl w:ilvl="0" w:tplc="E4844866">
      <w:start w:val="1"/>
      <w:numFmt w:val="low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53A17C5D"/>
    <w:multiLevelType w:val="hybridMultilevel"/>
    <w:tmpl w:val="B2001644"/>
    <w:lvl w:ilvl="0" w:tplc="662C227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F1"/>
    <w:rsid w:val="000D48CB"/>
    <w:rsid w:val="00162CBC"/>
    <w:rsid w:val="001966A5"/>
    <w:rsid w:val="00196B9F"/>
    <w:rsid w:val="00311CB8"/>
    <w:rsid w:val="00326334"/>
    <w:rsid w:val="00332607"/>
    <w:rsid w:val="00382008"/>
    <w:rsid w:val="003E28F4"/>
    <w:rsid w:val="003F1B14"/>
    <w:rsid w:val="0046342C"/>
    <w:rsid w:val="004F4680"/>
    <w:rsid w:val="005005EB"/>
    <w:rsid w:val="00591EA0"/>
    <w:rsid w:val="005A16EE"/>
    <w:rsid w:val="005A3E6B"/>
    <w:rsid w:val="005F2807"/>
    <w:rsid w:val="00644B6E"/>
    <w:rsid w:val="00656636"/>
    <w:rsid w:val="00662957"/>
    <w:rsid w:val="006B533C"/>
    <w:rsid w:val="00715C70"/>
    <w:rsid w:val="00723A90"/>
    <w:rsid w:val="00756CFD"/>
    <w:rsid w:val="007F3D00"/>
    <w:rsid w:val="00871ADF"/>
    <w:rsid w:val="00880B63"/>
    <w:rsid w:val="009028F4"/>
    <w:rsid w:val="0092309C"/>
    <w:rsid w:val="00927355"/>
    <w:rsid w:val="009577C9"/>
    <w:rsid w:val="00975E31"/>
    <w:rsid w:val="009A155E"/>
    <w:rsid w:val="009A6165"/>
    <w:rsid w:val="009B0FBB"/>
    <w:rsid w:val="009C5CF1"/>
    <w:rsid w:val="009E1862"/>
    <w:rsid w:val="009E2C2C"/>
    <w:rsid w:val="00A0574C"/>
    <w:rsid w:val="00AC6209"/>
    <w:rsid w:val="00AF6A73"/>
    <w:rsid w:val="00B00D27"/>
    <w:rsid w:val="00B11BD3"/>
    <w:rsid w:val="00B61959"/>
    <w:rsid w:val="00C001AB"/>
    <w:rsid w:val="00C05939"/>
    <w:rsid w:val="00C45A20"/>
    <w:rsid w:val="00C478AD"/>
    <w:rsid w:val="00C90FFF"/>
    <w:rsid w:val="00CC7BB2"/>
    <w:rsid w:val="00D87861"/>
    <w:rsid w:val="00DE339D"/>
    <w:rsid w:val="00E04CC0"/>
    <w:rsid w:val="00E242D3"/>
    <w:rsid w:val="00E60550"/>
    <w:rsid w:val="00EE18A6"/>
    <w:rsid w:val="00EE5208"/>
    <w:rsid w:val="00F41895"/>
    <w:rsid w:val="00F4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FC44C"/>
  <w15:chartTrackingRefBased/>
  <w15:docId w15:val="{23CDC37B-6619-4E91-850B-1CCFE383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CF1"/>
    <w:pPr>
      <w:spacing w:after="0" w:line="240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C5CF1"/>
    <w:pPr>
      <w:numPr>
        <w:numId w:val="1"/>
      </w:numPr>
      <w:ind w:left="36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5C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5C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5CF1"/>
    <w:rPr>
      <w:rFonts w:ascii="Arial" w:eastAsia="Calibri" w:hAnsi="Arial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9C5CF1"/>
    <w:rPr>
      <w:rFonts w:ascii="Arial" w:eastAsia="Calibri" w:hAnsi="Arial" w:cs="Times New Roman"/>
    </w:rPr>
  </w:style>
  <w:style w:type="paragraph" w:customStyle="1" w:styleId="Default">
    <w:name w:val="Default"/>
    <w:rsid w:val="009C5CF1"/>
    <w:pPr>
      <w:autoSpaceDE w:val="0"/>
      <w:autoSpaceDN w:val="0"/>
      <w:adjustRightInd w:val="0"/>
      <w:spacing w:after="0" w:line="240" w:lineRule="auto"/>
    </w:pPr>
    <w:rPr>
      <w:rFonts w:ascii="CG Omega" w:hAnsi="CG Omega" w:cs="CG Omeg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C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CF1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5C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CF1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9C5C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CF1"/>
    <w:rPr>
      <w:rFonts w:ascii="Arial" w:eastAsia="Calibri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CFD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0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Libor Self-Assessment Tool</vt:lpstr>
    </vt:vector>
  </TitlesOfParts>
  <Company>Office of the Comptroller of the Currency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Libor Self-Assessment Tool</dc:title>
  <dc:subject>Capital markets&gt;financial markets</dc:subject>
  <dc:creator>OCC</dc:creator>
  <cp:keywords>Libor, market risk, libor exposure, libor cessation, libor transition plan</cp:keywords>
  <dc:description/>
  <cp:lastModifiedBy>Davenport, Dianne</cp:lastModifiedBy>
  <cp:revision>3</cp:revision>
  <dcterms:created xsi:type="dcterms:W3CDTF">2021-10-15T14:50:00Z</dcterms:created>
  <dcterms:modified xsi:type="dcterms:W3CDTF">2021-10-15T15:28:00Z</dcterms:modified>
</cp:coreProperties>
</file>