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819EC" w14:textId="77777777" w:rsidR="00687188" w:rsidRPr="00582C92" w:rsidRDefault="00687188" w:rsidP="00BC40E0">
      <w:pPr>
        <w:pStyle w:val="Heading5"/>
      </w:pPr>
      <w:bookmarkStart w:id="0" w:name="_Toc367879925"/>
      <w:bookmarkStart w:id="1" w:name="_Toc374958251"/>
      <w:bookmarkStart w:id="2" w:name="_Toc396288809"/>
      <w:bookmarkStart w:id="3" w:name="_Toc396312999"/>
      <w:bookmarkStart w:id="4" w:name="_Toc338251078"/>
      <w:bookmarkStart w:id="5" w:name="_Toc338311961"/>
      <w:bookmarkStart w:id="6" w:name="_Toc366676125"/>
      <w:bookmarkStart w:id="7" w:name="_GoBack"/>
      <w:bookmarkEnd w:id="7"/>
      <w:r w:rsidRPr="00582C92">
        <w:t>EFTA W</w:t>
      </w:r>
      <w:r w:rsidR="00620A19">
        <w:t>orksheet</w:t>
      </w:r>
      <w:bookmarkEnd w:id="0"/>
      <w:bookmarkEnd w:id="1"/>
      <w:bookmarkEnd w:id="2"/>
      <w:bookmarkEnd w:id="3"/>
    </w:p>
    <w:p w14:paraId="699819ED" w14:textId="77777777" w:rsidR="006D1F78" w:rsidRPr="0022074B" w:rsidRDefault="006D1F78" w:rsidP="00BC40E0"/>
    <w:p w14:paraId="699819EE" w14:textId="77777777" w:rsidR="003D07CA" w:rsidRPr="00F01C18" w:rsidRDefault="003D07CA" w:rsidP="003D07CA">
      <w:r w:rsidRPr="00F01C18">
        <w:t>This worksheet can be used to review audit work papers</w:t>
      </w:r>
      <w:r w:rsidR="008C618E" w:rsidRPr="00F01C18">
        <w:t xml:space="preserve"> and/or line of business compliance testing work papers</w:t>
      </w:r>
      <w:r w:rsidRPr="00F01C18">
        <w:t xml:space="preserve">, evaluate bank policies, perform transaction testing, and </w:t>
      </w:r>
      <w:r w:rsidR="008C618E" w:rsidRPr="00F01C18">
        <w:t xml:space="preserve">evaluate </w:t>
      </w:r>
      <w:r w:rsidRPr="00F01C18">
        <w:t>train</w:t>
      </w:r>
      <w:r w:rsidR="008C618E" w:rsidRPr="00F01C18">
        <w:t>ing</w:t>
      </w:r>
      <w:r w:rsidRPr="00F01C18">
        <w:t xml:space="preserve"> as appropriate. Complete only those aspects of the checklist that specifically relate to the issue being reviewed, evaluated, or tested, and retain those completed sections in the work papers. </w:t>
      </w:r>
    </w:p>
    <w:p w14:paraId="699819EF" w14:textId="77777777" w:rsidR="003D07CA" w:rsidRPr="00F01C18" w:rsidRDefault="003D07CA" w:rsidP="003D07CA"/>
    <w:p w14:paraId="699819F0" w14:textId="75369EB5" w:rsidR="003D07CA" w:rsidRPr="00F01C18" w:rsidRDefault="003D07CA" w:rsidP="003D07CA">
      <w:r w:rsidRPr="00F01C18">
        <w:t xml:space="preserve">When reviewing audit or evaluating bank policies, a “no” answer indicates a possible exception/deficiency and should be explained in the work papers. When performing transaction testing, a “no” answer indicates a possible violation and should be explained in the work papers. If a line item is not applicable within the area you are reviewing, indicate </w:t>
      </w:r>
      <w:r w:rsidR="00C02429">
        <w:t>s</w:t>
      </w:r>
      <w:r w:rsidRPr="00F01C18">
        <w:t>“NA.”</w:t>
      </w:r>
    </w:p>
    <w:p w14:paraId="699819F1" w14:textId="77777777" w:rsidR="003D07CA" w:rsidRPr="00A41762" w:rsidRDefault="003D07CA" w:rsidP="003D07CA">
      <w:pPr>
        <w:rPr>
          <w:sz w:val="22"/>
        </w:rPr>
      </w:pPr>
    </w:p>
    <w:p w14:paraId="699819F2" w14:textId="77777777" w:rsidR="003D07CA" w:rsidRPr="006872E3" w:rsidRDefault="003D07CA" w:rsidP="006D5984">
      <w:pPr>
        <w:tabs>
          <w:tab w:val="left" w:pos="3330"/>
          <w:tab w:val="left" w:pos="4230"/>
          <w:tab w:val="left" w:pos="4950"/>
          <w:tab w:val="left" w:pos="5400"/>
          <w:tab w:val="right" w:pos="9000"/>
        </w:tabs>
        <w:rPr>
          <w:rFonts w:ascii="Arial" w:hAnsi="Arial" w:cs="Arial"/>
          <w:sz w:val="20"/>
          <w:szCs w:val="20"/>
        </w:rPr>
      </w:pPr>
      <w:r w:rsidRPr="006872E3">
        <w:rPr>
          <w:rFonts w:ascii="Arial" w:hAnsi="Arial" w:cs="Arial"/>
          <w:b/>
          <w:sz w:val="20"/>
          <w:szCs w:val="20"/>
        </w:rPr>
        <w:t>Underline the applicable use:</w:t>
      </w:r>
      <w:r w:rsidRPr="006872E3">
        <w:rPr>
          <w:rFonts w:ascii="Arial" w:hAnsi="Arial" w:cs="Arial"/>
          <w:sz w:val="20"/>
          <w:szCs w:val="20"/>
        </w:rPr>
        <w:t xml:space="preserve"> </w:t>
      </w:r>
      <w:r w:rsidRPr="006872E3">
        <w:rPr>
          <w:rFonts w:ascii="Arial" w:hAnsi="Arial" w:cs="Arial"/>
          <w:sz w:val="20"/>
          <w:szCs w:val="20"/>
        </w:rPr>
        <w:tab/>
      </w:r>
      <w:r w:rsidRPr="006872E3">
        <w:rPr>
          <w:rFonts w:ascii="Arial" w:hAnsi="Arial" w:cs="Arial"/>
          <w:b/>
          <w:sz w:val="20"/>
          <w:szCs w:val="20"/>
        </w:rPr>
        <w:t>Audit</w:t>
      </w:r>
      <w:r w:rsidR="006D5984" w:rsidRPr="006872E3">
        <w:rPr>
          <w:rFonts w:ascii="Arial" w:hAnsi="Arial" w:cs="Arial"/>
          <w:b/>
          <w:sz w:val="20"/>
          <w:szCs w:val="20"/>
        </w:rPr>
        <w:tab/>
      </w:r>
      <w:r w:rsidR="008C618E" w:rsidRPr="006872E3">
        <w:rPr>
          <w:rFonts w:ascii="Arial" w:hAnsi="Arial" w:cs="Arial"/>
          <w:b/>
          <w:sz w:val="20"/>
          <w:szCs w:val="20"/>
        </w:rPr>
        <w:t>Training</w:t>
      </w:r>
      <w:r w:rsidR="006D5984" w:rsidRPr="006872E3">
        <w:rPr>
          <w:rFonts w:ascii="Arial" w:hAnsi="Arial" w:cs="Arial"/>
          <w:b/>
          <w:sz w:val="20"/>
          <w:szCs w:val="20"/>
        </w:rPr>
        <w:tab/>
      </w:r>
      <w:r w:rsidRPr="006872E3">
        <w:rPr>
          <w:rFonts w:ascii="Arial" w:hAnsi="Arial" w:cs="Arial"/>
          <w:b/>
          <w:sz w:val="20"/>
          <w:szCs w:val="20"/>
        </w:rPr>
        <w:t>Bank Policies</w:t>
      </w:r>
      <w:r w:rsidRPr="006872E3">
        <w:rPr>
          <w:rFonts w:ascii="Arial" w:hAnsi="Arial" w:cs="Arial"/>
          <w:b/>
          <w:sz w:val="20"/>
          <w:szCs w:val="20"/>
        </w:rPr>
        <w:tab/>
        <w:t>Transaction Testing</w:t>
      </w:r>
    </w:p>
    <w:p w14:paraId="699819F3" w14:textId="77777777" w:rsidR="003D07CA" w:rsidRPr="00A41762" w:rsidRDefault="003D07CA" w:rsidP="003D07CA"/>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30"/>
        <w:gridCol w:w="30"/>
        <w:gridCol w:w="660"/>
        <w:gridCol w:w="30"/>
        <w:gridCol w:w="630"/>
      </w:tblGrid>
      <w:tr w:rsidR="003D07CA" w:rsidRPr="00637580" w14:paraId="699819F8" w14:textId="77777777" w:rsidTr="00C0379C">
        <w:trPr>
          <w:tblHeader/>
        </w:trPr>
        <w:tc>
          <w:tcPr>
            <w:tcW w:w="7020" w:type="dxa"/>
            <w:tcBorders>
              <w:bottom w:val="single" w:sz="4" w:space="0" w:color="auto"/>
            </w:tcBorders>
          </w:tcPr>
          <w:p w14:paraId="699819F4" w14:textId="77777777" w:rsidR="003D07CA" w:rsidRPr="00691CA2"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gridSpan w:val="2"/>
            <w:tcBorders>
              <w:bottom w:val="single" w:sz="4" w:space="0" w:color="auto"/>
            </w:tcBorders>
          </w:tcPr>
          <w:p w14:paraId="699819F5"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tcBorders>
              <w:bottom w:val="single" w:sz="4" w:space="0" w:color="auto"/>
            </w:tcBorders>
          </w:tcPr>
          <w:p w14:paraId="699819F6"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No</w:t>
            </w:r>
          </w:p>
        </w:tc>
        <w:tc>
          <w:tcPr>
            <w:tcW w:w="660" w:type="dxa"/>
            <w:gridSpan w:val="2"/>
            <w:tcBorders>
              <w:bottom w:val="single" w:sz="4" w:space="0" w:color="auto"/>
            </w:tcBorders>
          </w:tcPr>
          <w:p w14:paraId="699819F7"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9FD" w14:textId="77777777" w:rsidTr="00C0379C">
        <w:trPr>
          <w:trHeight w:val="332"/>
        </w:trPr>
        <w:tc>
          <w:tcPr>
            <w:tcW w:w="7020" w:type="dxa"/>
            <w:shd w:val="clear" w:color="auto" w:fill="000000" w:themeFill="text1"/>
            <w:vAlign w:val="center"/>
          </w:tcPr>
          <w:p w14:paraId="699819F9" w14:textId="77777777" w:rsidR="003D07CA" w:rsidRPr="00637580" w:rsidRDefault="003D07CA" w:rsidP="003E1F68">
            <w:pPr>
              <w:spacing w:before="40" w:after="40"/>
              <w:jc w:val="center"/>
              <w:rPr>
                <w:rFonts w:ascii="Arial" w:hAnsi="Arial" w:cs="Arial"/>
                <w:b/>
                <w:sz w:val="18"/>
                <w:szCs w:val="18"/>
              </w:rPr>
            </w:pPr>
            <w:r w:rsidRPr="00637580">
              <w:rPr>
                <w:rFonts w:ascii="Arial" w:hAnsi="Arial" w:cs="Arial"/>
                <w:b/>
                <w:sz w:val="18"/>
                <w:szCs w:val="18"/>
              </w:rPr>
              <w:t>Subpart A</w:t>
            </w:r>
            <w:r w:rsidR="00A72BF3">
              <w:rPr>
                <w:rFonts w:ascii="Arial" w:hAnsi="Arial" w:cs="Arial"/>
                <w:b/>
                <w:sz w:val="18"/>
                <w:szCs w:val="18"/>
              </w:rPr>
              <w:t>—General</w:t>
            </w:r>
          </w:p>
        </w:tc>
        <w:tc>
          <w:tcPr>
            <w:tcW w:w="630" w:type="dxa"/>
            <w:shd w:val="clear" w:color="auto" w:fill="000000" w:themeFill="text1"/>
          </w:tcPr>
          <w:p w14:paraId="699819FA" w14:textId="77777777" w:rsidR="003D07CA" w:rsidRPr="00637580" w:rsidRDefault="003D07CA" w:rsidP="003E1F68">
            <w:pPr>
              <w:spacing w:before="40" w:after="40"/>
              <w:jc w:val="center"/>
              <w:rPr>
                <w:rFonts w:ascii="Arial" w:hAnsi="Arial" w:cs="Arial"/>
                <w:b/>
                <w:sz w:val="18"/>
                <w:szCs w:val="18"/>
              </w:rPr>
            </w:pPr>
          </w:p>
        </w:tc>
        <w:tc>
          <w:tcPr>
            <w:tcW w:w="720" w:type="dxa"/>
            <w:gridSpan w:val="3"/>
            <w:shd w:val="clear" w:color="auto" w:fill="000000" w:themeFill="text1"/>
          </w:tcPr>
          <w:p w14:paraId="699819FB" w14:textId="77777777" w:rsidR="003D07CA" w:rsidRPr="00637580" w:rsidRDefault="003D07CA" w:rsidP="003E1F68">
            <w:pPr>
              <w:spacing w:before="40" w:after="40"/>
              <w:jc w:val="center"/>
              <w:rPr>
                <w:rFonts w:ascii="Arial" w:hAnsi="Arial" w:cs="Arial"/>
                <w:b/>
                <w:sz w:val="18"/>
                <w:szCs w:val="18"/>
              </w:rPr>
            </w:pPr>
          </w:p>
        </w:tc>
        <w:tc>
          <w:tcPr>
            <w:tcW w:w="630" w:type="dxa"/>
            <w:shd w:val="clear" w:color="auto" w:fill="000000" w:themeFill="text1"/>
          </w:tcPr>
          <w:p w14:paraId="699819FC"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A02" w14:textId="77777777" w:rsidTr="003E1F68">
        <w:tc>
          <w:tcPr>
            <w:tcW w:w="7020" w:type="dxa"/>
            <w:shd w:val="clear" w:color="auto" w:fill="D9D9D9" w:themeFill="background1" w:themeFillShade="D9"/>
            <w:vAlign w:val="center"/>
          </w:tcPr>
          <w:p w14:paraId="699819FE" w14:textId="77777777" w:rsidR="003D07CA" w:rsidRPr="0051694A" w:rsidRDefault="00155765" w:rsidP="003E1F68">
            <w:pPr>
              <w:spacing w:before="40" w:after="40"/>
              <w:rPr>
                <w:rFonts w:ascii="Arial" w:hAnsi="Arial" w:cs="Arial"/>
                <w:b/>
                <w:sz w:val="18"/>
                <w:szCs w:val="18"/>
              </w:rPr>
            </w:pPr>
            <w:r>
              <w:rPr>
                <w:rFonts w:ascii="Arial" w:hAnsi="Arial" w:cs="Arial"/>
                <w:b/>
                <w:sz w:val="18"/>
                <w:szCs w:val="18"/>
              </w:rPr>
              <w:t>12 CFR</w:t>
            </w:r>
            <w:r w:rsidR="004D21F4">
              <w:rPr>
                <w:rFonts w:ascii="Arial" w:hAnsi="Arial" w:cs="Arial"/>
                <w:b/>
                <w:sz w:val="18"/>
                <w:szCs w:val="18"/>
              </w:rPr>
              <w:t xml:space="preserve"> </w:t>
            </w:r>
            <w:r w:rsidR="003D07CA" w:rsidRPr="00691CA2">
              <w:rPr>
                <w:rFonts w:ascii="Arial" w:hAnsi="Arial" w:cs="Arial"/>
                <w:b/>
                <w:sz w:val="18"/>
                <w:szCs w:val="18"/>
              </w:rPr>
              <w:t xml:space="preserve">1005.5 </w:t>
            </w:r>
            <w:r w:rsidR="003D07CA" w:rsidRPr="0051694A">
              <w:rPr>
                <w:rFonts w:ascii="Arial" w:hAnsi="Arial" w:cs="Arial"/>
                <w:b/>
                <w:sz w:val="18"/>
                <w:szCs w:val="18"/>
              </w:rPr>
              <w:t>– Issuance of Access Devices</w:t>
            </w:r>
          </w:p>
        </w:tc>
        <w:tc>
          <w:tcPr>
            <w:tcW w:w="660" w:type="dxa"/>
            <w:gridSpan w:val="2"/>
            <w:tcBorders>
              <w:bottom w:val="single" w:sz="4" w:space="0" w:color="auto"/>
            </w:tcBorders>
            <w:shd w:val="clear" w:color="auto" w:fill="D9D9D9" w:themeFill="background1" w:themeFillShade="D9"/>
          </w:tcPr>
          <w:p w14:paraId="699819FF" w14:textId="77777777" w:rsidR="003D07CA" w:rsidRPr="007C7C6F" w:rsidRDefault="003D07CA" w:rsidP="003E1F68">
            <w:pPr>
              <w:spacing w:before="40" w:after="40"/>
              <w:jc w:val="center"/>
              <w:rPr>
                <w:rFonts w:ascii="Arial" w:hAnsi="Arial" w:cs="Arial"/>
                <w:b/>
                <w:sz w:val="18"/>
                <w:szCs w:val="18"/>
              </w:rPr>
            </w:pPr>
          </w:p>
        </w:tc>
        <w:tc>
          <w:tcPr>
            <w:tcW w:w="660" w:type="dxa"/>
            <w:tcBorders>
              <w:bottom w:val="single" w:sz="4" w:space="0" w:color="auto"/>
            </w:tcBorders>
            <w:shd w:val="clear" w:color="auto" w:fill="D9D9D9" w:themeFill="background1" w:themeFillShade="D9"/>
          </w:tcPr>
          <w:p w14:paraId="69981A00" w14:textId="77777777" w:rsidR="003D07CA" w:rsidRPr="007C7C6F" w:rsidRDefault="003D07CA" w:rsidP="003E1F68">
            <w:pPr>
              <w:spacing w:before="40" w:after="40"/>
              <w:jc w:val="center"/>
              <w:rPr>
                <w:rFonts w:ascii="Arial" w:hAnsi="Arial" w:cs="Arial"/>
                <w:b/>
                <w:sz w:val="18"/>
                <w:szCs w:val="18"/>
              </w:rPr>
            </w:pPr>
          </w:p>
        </w:tc>
        <w:tc>
          <w:tcPr>
            <w:tcW w:w="660" w:type="dxa"/>
            <w:gridSpan w:val="2"/>
            <w:tcBorders>
              <w:bottom w:val="single" w:sz="4" w:space="0" w:color="auto"/>
            </w:tcBorders>
            <w:shd w:val="clear" w:color="auto" w:fill="D9D9D9" w:themeFill="background1" w:themeFillShade="D9"/>
          </w:tcPr>
          <w:p w14:paraId="69981A01"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A07" w14:textId="77777777" w:rsidTr="003E1F68">
        <w:trPr>
          <w:trHeight w:val="404"/>
        </w:trPr>
        <w:tc>
          <w:tcPr>
            <w:tcW w:w="7020" w:type="dxa"/>
          </w:tcPr>
          <w:p w14:paraId="69981A03"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Do the financial institution’s policies, practices, and procedures allow that validated access devices are issued only</w:t>
            </w:r>
          </w:p>
        </w:tc>
        <w:tc>
          <w:tcPr>
            <w:tcW w:w="660" w:type="dxa"/>
            <w:gridSpan w:val="2"/>
            <w:shd w:val="clear" w:color="auto" w:fill="D9D9D9" w:themeFill="background1" w:themeFillShade="D9"/>
          </w:tcPr>
          <w:p w14:paraId="69981A04"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A05" w14:textId="77777777" w:rsidR="003D07CA" w:rsidRPr="00637580" w:rsidRDefault="003D07CA" w:rsidP="003E1F68">
            <w:pPr>
              <w:spacing w:before="40" w:after="40"/>
              <w:jc w:val="center"/>
              <w:rPr>
                <w:rFonts w:ascii="Arial" w:hAnsi="Arial" w:cs="Arial"/>
                <w:b/>
                <w:sz w:val="18"/>
                <w:szCs w:val="18"/>
              </w:rPr>
            </w:pPr>
          </w:p>
        </w:tc>
        <w:tc>
          <w:tcPr>
            <w:tcW w:w="660" w:type="dxa"/>
            <w:gridSpan w:val="2"/>
            <w:shd w:val="clear" w:color="auto" w:fill="D9D9D9" w:themeFill="background1" w:themeFillShade="D9"/>
          </w:tcPr>
          <w:p w14:paraId="69981A06" w14:textId="77777777" w:rsidR="003D07CA" w:rsidRPr="00637580" w:rsidRDefault="003D07CA" w:rsidP="003E1F68">
            <w:pPr>
              <w:spacing w:before="40" w:after="40"/>
              <w:jc w:val="center"/>
              <w:rPr>
                <w:rFonts w:ascii="Arial" w:hAnsi="Arial" w:cs="Arial"/>
                <w:b/>
                <w:sz w:val="18"/>
                <w:szCs w:val="18"/>
              </w:rPr>
            </w:pPr>
          </w:p>
        </w:tc>
      </w:tr>
      <w:tr w:rsidR="003D07CA" w:rsidRPr="007C7C6F" w14:paraId="69981A0C" w14:textId="77777777" w:rsidTr="003E1F68">
        <w:trPr>
          <w:trHeight w:val="170"/>
        </w:trPr>
        <w:tc>
          <w:tcPr>
            <w:tcW w:w="7020" w:type="dxa"/>
          </w:tcPr>
          <w:p w14:paraId="69981A08" w14:textId="77777777" w:rsidR="003D07CA" w:rsidRPr="007C7C6F" w:rsidRDefault="003D07CA" w:rsidP="00525B7F">
            <w:pPr>
              <w:pStyle w:val="Checklist1a"/>
              <w:numPr>
                <w:ilvl w:val="0"/>
                <w:numId w:val="89"/>
              </w:numPr>
              <w:spacing w:before="40" w:after="40"/>
              <w:ind w:left="882"/>
              <w:jc w:val="left"/>
              <w:rPr>
                <w:rFonts w:ascii="Arial" w:hAnsi="Arial" w:cs="Arial"/>
                <w:sz w:val="18"/>
                <w:szCs w:val="18"/>
              </w:rPr>
            </w:pPr>
            <w:r w:rsidRPr="007C7C6F">
              <w:rPr>
                <w:rFonts w:ascii="Arial" w:hAnsi="Arial" w:cs="Arial"/>
                <w:sz w:val="18"/>
                <w:szCs w:val="18"/>
              </w:rPr>
              <w:t>in response to oral or written requests (12 CFR 1005.5(a)(1)) or</w:t>
            </w:r>
          </w:p>
        </w:tc>
        <w:tc>
          <w:tcPr>
            <w:tcW w:w="660" w:type="dxa"/>
            <w:gridSpan w:val="2"/>
          </w:tcPr>
          <w:p w14:paraId="69981A09" w14:textId="77777777" w:rsidR="003D07CA" w:rsidRPr="007C7C6F" w:rsidRDefault="003D07CA" w:rsidP="003E1F68">
            <w:pPr>
              <w:spacing w:before="40" w:after="40"/>
              <w:jc w:val="center"/>
              <w:rPr>
                <w:rFonts w:ascii="Arial" w:hAnsi="Arial" w:cs="Arial"/>
                <w:sz w:val="18"/>
                <w:szCs w:val="18"/>
              </w:rPr>
            </w:pPr>
          </w:p>
        </w:tc>
        <w:tc>
          <w:tcPr>
            <w:tcW w:w="660" w:type="dxa"/>
          </w:tcPr>
          <w:p w14:paraId="69981A0A" w14:textId="77777777" w:rsidR="003D07CA" w:rsidRPr="007C7C6F" w:rsidRDefault="003D07CA" w:rsidP="003E1F68">
            <w:pPr>
              <w:spacing w:before="40" w:after="40"/>
              <w:jc w:val="center"/>
              <w:rPr>
                <w:rFonts w:ascii="Arial" w:hAnsi="Arial" w:cs="Arial"/>
                <w:sz w:val="18"/>
                <w:szCs w:val="18"/>
              </w:rPr>
            </w:pPr>
          </w:p>
        </w:tc>
        <w:tc>
          <w:tcPr>
            <w:tcW w:w="660" w:type="dxa"/>
            <w:gridSpan w:val="2"/>
          </w:tcPr>
          <w:p w14:paraId="69981A0B" w14:textId="77777777" w:rsidR="003D07CA" w:rsidRPr="007C7C6F" w:rsidRDefault="003D07CA" w:rsidP="003E1F68">
            <w:pPr>
              <w:spacing w:before="40" w:after="40"/>
              <w:jc w:val="center"/>
              <w:rPr>
                <w:rFonts w:ascii="Arial" w:hAnsi="Arial" w:cs="Arial"/>
                <w:sz w:val="18"/>
                <w:szCs w:val="18"/>
              </w:rPr>
            </w:pPr>
          </w:p>
        </w:tc>
      </w:tr>
      <w:tr w:rsidR="003D07CA" w:rsidRPr="007C7C6F" w14:paraId="69981A11" w14:textId="77777777" w:rsidTr="003E1F68">
        <w:trPr>
          <w:trHeight w:val="314"/>
        </w:trPr>
        <w:tc>
          <w:tcPr>
            <w:tcW w:w="7020" w:type="dxa"/>
          </w:tcPr>
          <w:p w14:paraId="69981A0D" w14:textId="77777777" w:rsidR="003D07CA" w:rsidRPr="007C7C6F" w:rsidRDefault="00C86A74" w:rsidP="00525B7F">
            <w:pPr>
              <w:pStyle w:val="Checklist1a"/>
              <w:numPr>
                <w:ilvl w:val="0"/>
                <w:numId w:val="89"/>
              </w:numPr>
              <w:spacing w:before="40" w:after="40"/>
              <w:ind w:left="882"/>
              <w:jc w:val="left"/>
              <w:rPr>
                <w:rFonts w:ascii="Arial" w:hAnsi="Arial" w:cs="Arial"/>
                <w:sz w:val="18"/>
                <w:szCs w:val="18"/>
              </w:rPr>
            </w:pPr>
            <w:r>
              <w:rPr>
                <w:rFonts w:ascii="Arial" w:hAnsi="Arial" w:cs="Arial"/>
                <w:sz w:val="18"/>
                <w:szCs w:val="18"/>
              </w:rPr>
              <w:t xml:space="preserve">as </w:t>
            </w:r>
            <w:r w:rsidR="003D07CA" w:rsidRPr="007C7C6F">
              <w:rPr>
                <w:rFonts w:ascii="Arial" w:hAnsi="Arial" w:cs="Arial"/>
                <w:sz w:val="18"/>
                <w:szCs w:val="18"/>
              </w:rPr>
              <w:t>a renewal or substitution for an accepted access device? (12 CFR 1005.5(a)(2))</w:t>
            </w:r>
          </w:p>
        </w:tc>
        <w:tc>
          <w:tcPr>
            <w:tcW w:w="660" w:type="dxa"/>
            <w:gridSpan w:val="2"/>
            <w:tcBorders>
              <w:bottom w:val="single" w:sz="4" w:space="0" w:color="auto"/>
            </w:tcBorders>
          </w:tcPr>
          <w:p w14:paraId="69981A0E" w14:textId="77777777" w:rsidR="003D07CA" w:rsidRPr="007C7C6F"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A0F" w14:textId="77777777" w:rsidR="003D07CA" w:rsidRPr="007C7C6F" w:rsidRDefault="003D07CA" w:rsidP="003E1F68">
            <w:pPr>
              <w:spacing w:before="40" w:after="40"/>
              <w:jc w:val="center"/>
              <w:rPr>
                <w:rFonts w:ascii="Arial" w:hAnsi="Arial" w:cs="Arial"/>
                <w:sz w:val="18"/>
                <w:szCs w:val="18"/>
              </w:rPr>
            </w:pPr>
          </w:p>
        </w:tc>
        <w:tc>
          <w:tcPr>
            <w:tcW w:w="660" w:type="dxa"/>
            <w:gridSpan w:val="2"/>
            <w:tcBorders>
              <w:bottom w:val="single" w:sz="4" w:space="0" w:color="auto"/>
            </w:tcBorders>
          </w:tcPr>
          <w:p w14:paraId="69981A10" w14:textId="77777777" w:rsidR="003D07CA" w:rsidRPr="007C7C6F" w:rsidRDefault="003D07CA" w:rsidP="003E1F68">
            <w:pPr>
              <w:spacing w:before="40" w:after="40"/>
              <w:jc w:val="center"/>
              <w:rPr>
                <w:rFonts w:ascii="Arial" w:hAnsi="Arial" w:cs="Arial"/>
                <w:sz w:val="18"/>
                <w:szCs w:val="18"/>
              </w:rPr>
            </w:pPr>
          </w:p>
        </w:tc>
      </w:tr>
      <w:tr w:rsidR="003D07CA" w:rsidRPr="00637580" w14:paraId="69981A16" w14:textId="77777777" w:rsidTr="003E1F68">
        <w:trPr>
          <w:trHeight w:val="242"/>
        </w:trPr>
        <w:tc>
          <w:tcPr>
            <w:tcW w:w="7020" w:type="dxa"/>
          </w:tcPr>
          <w:p w14:paraId="69981A12"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 xml:space="preserve">Do the financial institution’s policies, practices, and procedures allow that unsolicited access devices are issued only when the devices </w:t>
            </w:r>
            <w:r w:rsidR="003A32E6">
              <w:rPr>
                <w:rFonts w:ascii="Arial" w:hAnsi="Arial" w:cs="Arial"/>
                <w:sz w:val="18"/>
                <w:szCs w:val="18"/>
              </w:rPr>
              <w:t>meet all of the following conditions:</w:t>
            </w:r>
          </w:p>
        </w:tc>
        <w:tc>
          <w:tcPr>
            <w:tcW w:w="660" w:type="dxa"/>
            <w:gridSpan w:val="2"/>
            <w:shd w:val="clear" w:color="auto" w:fill="D9D9D9" w:themeFill="background1" w:themeFillShade="D9"/>
          </w:tcPr>
          <w:p w14:paraId="69981A13"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A14" w14:textId="77777777" w:rsidR="003D07CA" w:rsidRPr="00637580" w:rsidRDefault="003D07CA" w:rsidP="003E1F68">
            <w:pPr>
              <w:spacing w:before="40" w:after="40"/>
              <w:jc w:val="center"/>
              <w:rPr>
                <w:rFonts w:ascii="Arial" w:hAnsi="Arial" w:cs="Arial"/>
                <w:b/>
                <w:sz w:val="18"/>
                <w:szCs w:val="18"/>
              </w:rPr>
            </w:pPr>
          </w:p>
        </w:tc>
        <w:tc>
          <w:tcPr>
            <w:tcW w:w="660" w:type="dxa"/>
            <w:gridSpan w:val="2"/>
            <w:shd w:val="clear" w:color="auto" w:fill="D9D9D9" w:themeFill="background1" w:themeFillShade="D9"/>
          </w:tcPr>
          <w:p w14:paraId="69981A15"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A1B" w14:textId="77777777" w:rsidTr="003E1F68">
        <w:tc>
          <w:tcPr>
            <w:tcW w:w="7020" w:type="dxa"/>
          </w:tcPr>
          <w:p w14:paraId="69981A17" w14:textId="77777777" w:rsidR="003D07CA" w:rsidRPr="00637580" w:rsidRDefault="00654702" w:rsidP="00525B7F">
            <w:pPr>
              <w:pStyle w:val="Checklist1a"/>
              <w:numPr>
                <w:ilvl w:val="0"/>
                <w:numId w:val="118"/>
              </w:numPr>
              <w:spacing w:before="40" w:after="40"/>
              <w:jc w:val="left"/>
              <w:rPr>
                <w:rFonts w:ascii="Arial" w:hAnsi="Arial" w:cs="Arial"/>
                <w:sz w:val="18"/>
                <w:szCs w:val="18"/>
              </w:rPr>
            </w:pPr>
            <w:r>
              <w:rPr>
                <w:rFonts w:ascii="Arial" w:hAnsi="Arial" w:cs="Arial"/>
                <w:sz w:val="18"/>
                <w:szCs w:val="18"/>
              </w:rPr>
              <w:t>N</w:t>
            </w:r>
            <w:r w:rsidR="003D07CA" w:rsidRPr="00637580">
              <w:rPr>
                <w:rFonts w:ascii="Arial" w:hAnsi="Arial" w:cs="Arial"/>
                <w:sz w:val="18"/>
                <w:szCs w:val="18"/>
              </w:rPr>
              <w:t>ot validated? (12 CFR 1005.5(b)(1))</w:t>
            </w:r>
          </w:p>
        </w:tc>
        <w:tc>
          <w:tcPr>
            <w:tcW w:w="660" w:type="dxa"/>
            <w:gridSpan w:val="2"/>
          </w:tcPr>
          <w:p w14:paraId="69981A18" w14:textId="77777777" w:rsidR="003D07CA" w:rsidRPr="00637580" w:rsidRDefault="003D07CA" w:rsidP="003E1F68">
            <w:pPr>
              <w:spacing w:before="40" w:after="40"/>
              <w:jc w:val="center"/>
              <w:rPr>
                <w:rFonts w:ascii="Arial" w:hAnsi="Arial" w:cs="Arial"/>
                <w:sz w:val="18"/>
                <w:szCs w:val="18"/>
              </w:rPr>
            </w:pPr>
          </w:p>
        </w:tc>
        <w:tc>
          <w:tcPr>
            <w:tcW w:w="660" w:type="dxa"/>
          </w:tcPr>
          <w:p w14:paraId="69981A19"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1A" w14:textId="77777777" w:rsidR="003D07CA" w:rsidRPr="00637580" w:rsidRDefault="003D07CA" w:rsidP="003E1F68">
            <w:pPr>
              <w:spacing w:before="40" w:after="40"/>
              <w:jc w:val="center"/>
              <w:rPr>
                <w:rFonts w:ascii="Arial" w:hAnsi="Arial" w:cs="Arial"/>
                <w:sz w:val="18"/>
                <w:szCs w:val="18"/>
              </w:rPr>
            </w:pPr>
          </w:p>
        </w:tc>
      </w:tr>
      <w:tr w:rsidR="003D07CA" w:rsidRPr="00637580" w14:paraId="69981A20" w14:textId="77777777" w:rsidTr="003E1F68">
        <w:trPr>
          <w:trHeight w:val="512"/>
        </w:trPr>
        <w:tc>
          <w:tcPr>
            <w:tcW w:w="7020" w:type="dxa"/>
          </w:tcPr>
          <w:p w14:paraId="69981A1C" w14:textId="77777777" w:rsidR="003D07CA" w:rsidRPr="0051694A" w:rsidRDefault="00654702" w:rsidP="00525B7F">
            <w:pPr>
              <w:pStyle w:val="Checklist1a"/>
              <w:numPr>
                <w:ilvl w:val="0"/>
                <w:numId w:val="118"/>
              </w:numPr>
              <w:spacing w:before="40" w:after="40"/>
              <w:jc w:val="left"/>
              <w:rPr>
                <w:rFonts w:ascii="Arial" w:hAnsi="Arial" w:cs="Arial"/>
                <w:sz w:val="18"/>
                <w:szCs w:val="18"/>
              </w:rPr>
            </w:pPr>
            <w:r>
              <w:rPr>
                <w:rFonts w:ascii="Arial" w:hAnsi="Arial" w:cs="Arial"/>
                <w:sz w:val="18"/>
                <w:szCs w:val="18"/>
              </w:rPr>
              <w:t>A</w:t>
            </w:r>
            <w:r w:rsidR="003D07CA" w:rsidRPr="00691CA2">
              <w:rPr>
                <w:rFonts w:ascii="Arial" w:hAnsi="Arial" w:cs="Arial"/>
                <w:sz w:val="18"/>
                <w:szCs w:val="18"/>
              </w:rPr>
              <w:t xml:space="preserve">ccompanied by a clear explanation that they are not validated and how they may be disposed of if validation is not desired? </w:t>
            </w:r>
            <w:r w:rsidR="003D07CA" w:rsidRPr="0051694A">
              <w:rPr>
                <w:rFonts w:ascii="Arial" w:hAnsi="Arial" w:cs="Arial"/>
                <w:sz w:val="18"/>
                <w:szCs w:val="18"/>
              </w:rPr>
              <w:t>(12</w:t>
            </w:r>
            <w:r w:rsidR="003D07CA">
              <w:rPr>
                <w:rFonts w:ascii="Arial" w:hAnsi="Arial" w:cs="Arial"/>
                <w:sz w:val="18"/>
                <w:szCs w:val="18"/>
              </w:rPr>
              <w:t> </w:t>
            </w:r>
            <w:r w:rsidR="003D07CA" w:rsidRPr="00691CA2">
              <w:rPr>
                <w:rFonts w:ascii="Arial" w:hAnsi="Arial" w:cs="Arial"/>
                <w:sz w:val="18"/>
                <w:szCs w:val="18"/>
              </w:rPr>
              <w:t>CFR</w:t>
            </w:r>
            <w:r w:rsidR="003D07CA">
              <w:rPr>
                <w:rFonts w:ascii="Arial" w:hAnsi="Arial" w:cs="Arial"/>
                <w:sz w:val="18"/>
                <w:szCs w:val="18"/>
              </w:rPr>
              <w:t> </w:t>
            </w:r>
            <w:r w:rsidR="003D07CA" w:rsidRPr="00691CA2">
              <w:rPr>
                <w:rFonts w:ascii="Arial" w:hAnsi="Arial" w:cs="Arial"/>
                <w:sz w:val="18"/>
                <w:szCs w:val="18"/>
              </w:rPr>
              <w:t>1005.5(b)</w:t>
            </w:r>
            <w:r w:rsidR="003D07CA" w:rsidRPr="0051694A">
              <w:rPr>
                <w:rFonts w:ascii="Arial" w:hAnsi="Arial" w:cs="Arial"/>
                <w:sz w:val="18"/>
                <w:szCs w:val="18"/>
              </w:rPr>
              <w:t>(2))</w:t>
            </w:r>
          </w:p>
        </w:tc>
        <w:tc>
          <w:tcPr>
            <w:tcW w:w="660" w:type="dxa"/>
            <w:gridSpan w:val="2"/>
          </w:tcPr>
          <w:p w14:paraId="69981A1D" w14:textId="77777777" w:rsidR="003D07CA" w:rsidRPr="00637580" w:rsidRDefault="003D07CA" w:rsidP="003E1F68">
            <w:pPr>
              <w:spacing w:before="40" w:after="40"/>
              <w:jc w:val="center"/>
              <w:rPr>
                <w:rFonts w:ascii="Arial" w:hAnsi="Arial" w:cs="Arial"/>
                <w:sz w:val="18"/>
                <w:szCs w:val="18"/>
              </w:rPr>
            </w:pPr>
          </w:p>
        </w:tc>
        <w:tc>
          <w:tcPr>
            <w:tcW w:w="660" w:type="dxa"/>
          </w:tcPr>
          <w:p w14:paraId="69981A1E"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1F" w14:textId="77777777" w:rsidR="003D07CA" w:rsidRPr="00637580" w:rsidRDefault="003D07CA" w:rsidP="003E1F68">
            <w:pPr>
              <w:spacing w:before="40" w:after="40"/>
              <w:jc w:val="center"/>
              <w:rPr>
                <w:rFonts w:ascii="Arial" w:hAnsi="Arial" w:cs="Arial"/>
                <w:sz w:val="18"/>
                <w:szCs w:val="18"/>
              </w:rPr>
            </w:pPr>
          </w:p>
        </w:tc>
      </w:tr>
      <w:tr w:rsidR="003D07CA" w:rsidRPr="00637580" w14:paraId="69981A25" w14:textId="77777777" w:rsidTr="003E1F68">
        <w:tc>
          <w:tcPr>
            <w:tcW w:w="7020" w:type="dxa"/>
          </w:tcPr>
          <w:p w14:paraId="69981A21" w14:textId="77777777" w:rsidR="003D07CA" w:rsidRPr="0051694A" w:rsidRDefault="00654702" w:rsidP="00525B7F">
            <w:pPr>
              <w:pStyle w:val="Checklist1a"/>
              <w:numPr>
                <w:ilvl w:val="0"/>
                <w:numId w:val="118"/>
              </w:numPr>
              <w:spacing w:before="40" w:after="40"/>
              <w:jc w:val="left"/>
              <w:rPr>
                <w:rFonts w:ascii="Arial" w:hAnsi="Arial" w:cs="Arial"/>
                <w:sz w:val="18"/>
                <w:szCs w:val="18"/>
              </w:rPr>
            </w:pPr>
            <w:r>
              <w:rPr>
                <w:rFonts w:ascii="Arial" w:hAnsi="Arial" w:cs="Arial"/>
                <w:sz w:val="18"/>
                <w:szCs w:val="18"/>
              </w:rPr>
              <w:t>A</w:t>
            </w:r>
            <w:r w:rsidR="003D07CA" w:rsidRPr="00691CA2">
              <w:rPr>
                <w:rFonts w:ascii="Arial" w:hAnsi="Arial" w:cs="Arial"/>
                <w:sz w:val="18"/>
                <w:szCs w:val="18"/>
              </w:rPr>
              <w:t xml:space="preserve">ccompanied by the initial disclosures required by 12 CFR 1005.7? </w:t>
            </w:r>
            <w:r w:rsidR="003D07CA" w:rsidRPr="0051694A">
              <w:rPr>
                <w:rFonts w:ascii="Arial" w:hAnsi="Arial" w:cs="Arial"/>
                <w:sz w:val="18"/>
                <w:szCs w:val="18"/>
              </w:rPr>
              <w:t xml:space="preserve">(12 CFR 1005.5(b)(3)) </w:t>
            </w:r>
          </w:p>
        </w:tc>
        <w:tc>
          <w:tcPr>
            <w:tcW w:w="660" w:type="dxa"/>
            <w:gridSpan w:val="2"/>
          </w:tcPr>
          <w:p w14:paraId="69981A22" w14:textId="77777777" w:rsidR="003D07CA" w:rsidRPr="00637580" w:rsidRDefault="003D07CA" w:rsidP="003E1F68">
            <w:pPr>
              <w:spacing w:before="40" w:after="40"/>
              <w:jc w:val="center"/>
              <w:rPr>
                <w:rFonts w:ascii="Arial" w:hAnsi="Arial" w:cs="Arial"/>
                <w:sz w:val="18"/>
                <w:szCs w:val="18"/>
              </w:rPr>
            </w:pPr>
          </w:p>
        </w:tc>
        <w:tc>
          <w:tcPr>
            <w:tcW w:w="660" w:type="dxa"/>
          </w:tcPr>
          <w:p w14:paraId="69981A23"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24" w14:textId="77777777" w:rsidR="003D07CA" w:rsidRPr="00637580" w:rsidRDefault="003D07CA" w:rsidP="003E1F68">
            <w:pPr>
              <w:spacing w:before="40" w:after="40"/>
              <w:jc w:val="center"/>
              <w:rPr>
                <w:rFonts w:ascii="Arial" w:hAnsi="Arial" w:cs="Arial"/>
                <w:sz w:val="18"/>
                <w:szCs w:val="18"/>
              </w:rPr>
            </w:pPr>
          </w:p>
        </w:tc>
      </w:tr>
      <w:tr w:rsidR="003D07CA" w:rsidRPr="00637580" w14:paraId="69981A2A" w14:textId="77777777" w:rsidTr="003E1F68">
        <w:tc>
          <w:tcPr>
            <w:tcW w:w="7020" w:type="dxa"/>
            <w:tcBorders>
              <w:bottom w:val="single" w:sz="4" w:space="0" w:color="auto"/>
            </w:tcBorders>
          </w:tcPr>
          <w:p w14:paraId="69981A26" w14:textId="77777777" w:rsidR="003D07CA" w:rsidRPr="0051694A" w:rsidRDefault="00654702" w:rsidP="00525B7F">
            <w:pPr>
              <w:pStyle w:val="Checklist1a"/>
              <w:numPr>
                <w:ilvl w:val="0"/>
                <w:numId w:val="118"/>
              </w:numPr>
              <w:spacing w:before="40" w:after="40"/>
              <w:jc w:val="left"/>
              <w:rPr>
                <w:rFonts w:ascii="Arial" w:hAnsi="Arial" w:cs="Arial"/>
                <w:sz w:val="18"/>
                <w:szCs w:val="18"/>
              </w:rPr>
            </w:pPr>
            <w:r>
              <w:rPr>
                <w:rFonts w:ascii="Arial" w:hAnsi="Arial" w:cs="Arial"/>
                <w:sz w:val="18"/>
                <w:szCs w:val="18"/>
              </w:rPr>
              <w:t>V</w:t>
            </w:r>
            <w:r w:rsidR="003D07CA" w:rsidRPr="00691CA2">
              <w:rPr>
                <w:rFonts w:ascii="Arial" w:hAnsi="Arial" w:cs="Arial"/>
                <w:sz w:val="18"/>
                <w:szCs w:val="18"/>
              </w:rPr>
              <w:t xml:space="preserve">alidated only in response to a consumer’s request and after the financial institution has verified the consumer’s identity by reasonable means (e.g., photograph, fingerprint, personal visit, and signature)? </w:t>
            </w:r>
            <w:r w:rsidR="003D07CA" w:rsidRPr="0051694A">
              <w:rPr>
                <w:rFonts w:ascii="Arial" w:hAnsi="Arial" w:cs="Arial"/>
                <w:sz w:val="18"/>
                <w:szCs w:val="18"/>
              </w:rPr>
              <w:t>(12 CFR 1005.5(b)(4) and staff commentary</w:t>
            </w:r>
            <w:r w:rsidR="00147C48">
              <w:rPr>
                <w:rFonts w:ascii="Arial" w:hAnsi="Arial" w:cs="Arial"/>
                <w:sz w:val="18"/>
                <w:szCs w:val="18"/>
              </w:rPr>
              <w:t xml:space="preserve"> 1005.6(b)</w:t>
            </w:r>
            <w:r w:rsidR="00147C48" w:rsidRPr="008B7E6A">
              <w:rPr>
                <w:rFonts w:ascii="Arial" w:hAnsi="Arial" w:cs="Arial"/>
                <w:sz w:val="18"/>
                <w:szCs w:val="18"/>
              </w:rPr>
              <w:t>–</w:t>
            </w:r>
            <w:r w:rsidR="00147C48">
              <w:rPr>
                <w:rFonts w:ascii="Arial" w:hAnsi="Arial" w:cs="Arial"/>
                <w:sz w:val="18"/>
                <w:szCs w:val="18"/>
              </w:rPr>
              <w:t>4</w:t>
            </w:r>
            <w:r w:rsidR="003D07CA" w:rsidRPr="0051694A">
              <w:rPr>
                <w:rFonts w:ascii="Arial" w:hAnsi="Arial" w:cs="Arial"/>
                <w:sz w:val="18"/>
                <w:szCs w:val="18"/>
              </w:rPr>
              <w:t>)</w:t>
            </w:r>
          </w:p>
        </w:tc>
        <w:tc>
          <w:tcPr>
            <w:tcW w:w="660" w:type="dxa"/>
            <w:gridSpan w:val="2"/>
            <w:tcBorders>
              <w:bottom w:val="single" w:sz="4" w:space="0" w:color="auto"/>
            </w:tcBorders>
          </w:tcPr>
          <w:p w14:paraId="69981A27"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A28" w14:textId="77777777" w:rsidR="003D07CA" w:rsidRPr="00637580" w:rsidRDefault="003D07CA" w:rsidP="003E1F68">
            <w:pPr>
              <w:spacing w:before="40" w:after="40"/>
              <w:jc w:val="center"/>
              <w:rPr>
                <w:rFonts w:ascii="Arial" w:hAnsi="Arial" w:cs="Arial"/>
                <w:sz w:val="18"/>
                <w:szCs w:val="18"/>
              </w:rPr>
            </w:pPr>
          </w:p>
        </w:tc>
        <w:tc>
          <w:tcPr>
            <w:tcW w:w="660" w:type="dxa"/>
            <w:gridSpan w:val="2"/>
            <w:tcBorders>
              <w:bottom w:val="single" w:sz="4" w:space="0" w:color="auto"/>
            </w:tcBorders>
          </w:tcPr>
          <w:p w14:paraId="69981A29" w14:textId="77777777" w:rsidR="003D07CA" w:rsidRPr="00637580" w:rsidRDefault="003D07CA" w:rsidP="003E1F68">
            <w:pPr>
              <w:spacing w:before="40" w:after="40"/>
              <w:jc w:val="center"/>
              <w:rPr>
                <w:rFonts w:ascii="Arial" w:hAnsi="Arial" w:cs="Arial"/>
                <w:sz w:val="18"/>
                <w:szCs w:val="18"/>
              </w:rPr>
            </w:pPr>
          </w:p>
        </w:tc>
      </w:tr>
      <w:tr w:rsidR="003D07CA" w:rsidRPr="00637580" w14:paraId="69981A2F" w14:textId="77777777" w:rsidTr="003E1F68">
        <w:tc>
          <w:tcPr>
            <w:tcW w:w="7020" w:type="dxa"/>
            <w:shd w:val="clear" w:color="auto" w:fill="D9D9D9" w:themeFill="background1" w:themeFillShade="D9"/>
          </w:tcPr>
          <w:p w14:paraId="69981A2B" w14:textId="77777777" w:rsidR="003D07CA" w:rsidRPr="00691CA2" w:rsidRDefault="00155765" w:rsidP="004D21F4">
            <w:pPr>
              <w:spacing w:before="40" w:after="40"/>
              <w:rPr>
                <w:rFonts w:ascii="Arial" w:hAnsi="Arial" w:cs="Arial"/>
                <w:b/>
                <w:sz w:val="18"/>
                <w:szCs w:val="18"/>
              </w:rPr>
            </w:pPr>
            <w:r>
              <w:rPr>
                <w:rFonts w:ascii="Arial" w:hAnsi="Arial" w:cs="Arial"/>
                <w:b/>
                <w:sz w:val="18"/>
                <w:szCs w:val="18"/>
              </w:rPr>
              <w:t>12 CFR</w:t>
            </w:r>
            <w:r w:rsidR="003D07CA" w:rsidRPr="007C7C6F">
              <w:rPr>
                <w:rFonts w:ascii="Arial" w:hAnsi="Arial" w:cs="Arial"/>
                <w:b/>
                <w:sz w:val="18"/>
                <w:szCs w:val="18"/>
              </w:rPr>
              <w:t xml:space="preserve"> 1005.6 – Consumer Liability for Unauthorized Electronic Fund </w:t>
            </w:r>
            <w:r w:rsidR="003D07CA" w:rsidRPr="00691CA2">
              <w:rPr>
                <w:rFonts w:ascii="Arial" w:hAnsi="Arial" w:cs="Arial"/>
                <w:b/>
                <w:sz w:val="18"/>
                <w:szCs w:val="18"/>
              </w:rPr>
              <w:t>Transfers</w:t>
            </w:r>
          </w:p>
        </w:tc>
        <w:tc>
          <w:tcPr>
            <w:tcW w:w="660" w:type="dxa"/>
            <w:gridSpan w:val="2"/>
            <w:tcBorders>
              <w:bottom w:val="single" w:sz="4" w:space="0" w:color="auto"/>
            </w:tcBorders>
            <w:shd w:val="clear" w:color="auto" w:fill="D9D9D9" w:themeFill="background1" w:themeFillShade="D9"/>
          </w:tcPr>
          <w:p w14:paraId="69981A2C" w14:textId="77777777" w:rsidR="003D07CA" w:rsidRPr="007C7C6F" w:rsidRDefault="003D07CA" w:rsidP="003E1F68">
            <w:pPr>
              <w:spacing w:before="40" w:after="40"/>
              <w:jc w:val="center"/>
              <w:rPr>
                <w:rFonts w:ascii="Arial" w:hAnsi="Arial" w:cs="Arial"/>
                <w:b/>
                <w:sz w:val="18"/>
                <w:szCs w:val="18"/>
              </w:rPr>
            </w:pPr>
          </w:p>
        </w:tc>
        <w:tc>
          <w:tcPr>
            <w:tcW w:w="660" w:type="dxa"/>
            <w:tcBorders>
              <w:bottom w:val="single" w:sz="4" w:space="0" w:color="auto"/>
            </w:tcBorders>
            <w:shd w:val="clear" w:color="auto" w:fill="D9D9D9" w:themeFill="background1" w:themeFillShade="D9"/>
          </w:tcPr>
          <w:p w14:paraId="69981A2D" w14:textId="77777777" w:rsidR="003D07CA" w:rsidRPr="007C7C6F" w:rsidRDefault="003D07CA" w:rsidP="003E1F68">
            <w:pPr>
              <w:spacing w:before="40" w:after="40"/>
              <w:jc w:val="center"/>
              <w:rPr>
                <w:rFonts w:ascii="Arial" w:hAnsi="Arial" w:cs="Arial"/>
                <w:b/>
                <w:sz w:val="18"/>
                <w:szCs w:val="18"/>
              </w:rPr>
            </w:pPr>
          </w:p>
        </w:tc>
        <w:tc>
          <w:tcPr>
            <w:tcW w:w="660" w:type="dxa"/>
            <w:gridSpan w:val="2"/>
            <w:tcBorders>
              <w:bottom w:val="single" w:sz="4" w:space="0" w:color="auto"/>
            </w:tcBorders>
            <w:shd w:val="clear" w:color="auto" w:fill="D9D9D9" w:themeFill="background1" w:themeFillShade="D9"/>
          </w:tcPr>
          <w:p w14:paraId="69981A2E"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A34" w14:textId="77777777" w:rsidTr="003E1F68">
        <w:tc>
          <w:tcPr>
            <w:tcW w:w="7020" w:type="dxa"/>
          </w:tcPr>
          <w:p w14:paraId="69981A30"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 xml:space="preserve">Does the financial institution impose liability on the consumer for unauthorized transfers only if </w:t>
            </w:r>
            <w:r w:rsidR="003A32E6">
              <w:rPr>
                <w:rFonts w:ascii="Arial" w:hAnsi="Arial" w:cs="Arial"/>
                <w:sz w:val="18"/>
                <w:szCs w:val="18"/>
              </w:rPr>
              <w:t xml:space="preserve">all of the following conditions apply </w:t>
            </w:r>
            <w:r w:rsidRPr="00637580">
              <w:rPr>
                <w:rFonts w:ascii="Arial" w:hAnsi="Arial" w:cs="Arial"/>
                <w:sz w:val="18"/>
                <w:szCs w:val="18"/>
              </w:rPr>
              <w:t>(12 CFR 1005.6(a))</w:t>
            </w:r>
            <w:r w:rsidR="003A32E6">
              <w:rPr>
                <w:rFonts w:ascii="Arial" w:hAnsi="Arial" w:cs="Arial"/>
                <w:sz w:val="18"/>
                <w:szCs w:val="18"/>
              </w:rPr>
              <w:t>:</w:t>
            </w:r>
          </w:p>
        </w:tc>
        <w:tc>
          <w:tcPr>
            <w:tcW w:w="660" w:type="dxa"/>
            <w:gridSpan w:val="2"/>
            <w:shd w:val="clear" w:color="auto" w:fill="D9D9D9" w:themeFill="background1" w:themeFillShade="D9"/>
          </w:tcPr>
          <w:p w14:paraId="69981A31"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A32" w14:textId="77777777" w:rsidR="003D07CA" w:rsidRPr="00637580" w:rsidRDefault="003D07CA" w:rsidP="003E1F68">
            <w:pPr>
              <w:spacing w:before="40" w:after="40"/>
              <w:jc w:val="center"/>
              <w:rPr>
                <w:rFonts w:ascii="Arial" w:hAnsi="Arial" w:cs="Arial"/>
                <w:b/>
                <w:sz w:val="18"/>
                <w:szCs w:val="18"/>
              </w:rPr>
            </w:pPr>
          </w:p>
        </w:tc>
        <w:tc>
          <w:tcPr>
            <w:tcW w:w="660" w:type="dxa"/>
            <w:gridSpan w:val="2"/>
            <w:shd w:val="clear" w:color="auto" w:fill="D9D9D9" w:themeFill="background1" w:themeFillShade="D9"/>
          </w:tcPr>
          <w:p w14:paraId="69981A33"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A39" w14:textId="77777777" w:rsidTr="003E1F68">
        <w:tc>
          <w:tcPr>
            <w:tcW w:w="7020" w:type="dxa"/>
          </w:tcPr>
          <w:p w14:paraId="69981A35" w14:textId="77777777" w:rsidR="003D07CA" w:rsidRPr="00637580" w:rsidRDefault="00654702" w:rsidP="00525B7F">
            <w:pPr>
              <w:pStyle w:val="Checklist1a"/>
              <w:numPr>
                <w:ilvl w:val="0"/>
                <w:numId w:val="119"/>
              </w:numPr>
              <w:spacing w:before="40" w:after="40"/>
              <w:jc w:val="left"/>
              <w:rPr>
                <w:rFonts w:ascii="Arial" w:hAnsi="Arial" w:cs="Arial"/>
                <w:sz w:val="18"/>
                <w:szCs w:val="18"/>
              </w:rPr>
            </w:pPr>
            <w:r>
              <w:rPr>
                <w:rFonts w:ascii="Arial" w:hAnsi="Arial" w:cs="Arial"/>
                <w:sz w:val="18"/>
                <w:szCs w:val="18"/>
              </w:rPr>
              <w:t>A</w:t>
            </w:r>
            <w:r w:rsidR="003D07CA" w:rsidRPr="00637580">
              <w:rPr>
                <w:rFonts w:ascii="Arial" w:hAnsi="Arial" w:cs="Arial"/>
                <w:sz w:val="18"/>
                <w:szCs w:val="18"/>
              </w:rPr>
              <w:t>ny access device that was used was an accepted access device?</w:t>
            </w:r>
          </w:p>
        </w:tc>
        <w:tc>
          <w:tcPr>
            <w:tcW w:w="660" w:type="dxa"/>
            <w:gridSpan w:val="2"/>
          </w:tcPr>
          <w:p w14:paraId="69981A36" w14:textId="77777777" w:rsidR="003D07CA" w:rsidRPr="00637580" w:rsidRDefault="003D07CA" w:rsidP="003E1F68">
            <w:pPr>
              <w:spacing w:before="40" w:after="40"/>
              <w:jc w:val="center"/>
              <w:rPr>
                <w:rFonts w:ascii="Arial" w:hAnsi="Arial" w:cs="Arial"/>
                <w:sz w:val="18"/>
                <w:szCs w:val="18"/>
              </w:rPr>
            </w:pPr>
          </w:p>
        </w:tc>
        <w:tc>
          <w:tcPr>
            <w:tcW w:w="660" w:type="dxa"/>
          </w:tcPr>
          <w:p w14:paraId="69981A37"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38" w14:textId="77777777" w:rsidR="003D07CA" w:rsidRPr="00637580" w:rsidRDefault="003D07CA" w:rsidP="003E1F68">
            <w:pPr>
              <w:spacing w:before="40" w:after="40"/>
              <w:jc w:val="center"/>
              <w:rPr>
                <w:rFonts w:ascii="Arial" w:hAnsi="Arial" w:cs="Arial"/>
                <w:sz w:val="18"/>
                <w:szCs w:val="18"/>
              </w:rPr>
            </w:pPr>
          </w:p>
        </w:tc>
      </w:tr>
      <w:tr w:rsidR="003D07CA" w:rsidRPr="00637580" w14:paraId="69981A3E" w14:textId="77777777" w:rsidTr="003E1F68">
        <w:tc>
          <w:tcPr>
            <w:tcW w:w="7020" w:type="dxa"/>
          </w:tcPr>
          <w:p w14:paraId="69981A3A" w14:textId="77777777" w:rsidR="003D07CA" w:rsidRPr="00637580" w:rsidRDefault="00654702" w:rsidP="00525B7F">
            <w:pPr>
              <w:pStyle w:val="Checklist1a"/>
              <w:numPr>
                <w:ilvl w:val="0"/>
                <w:numId w:val="119"/>
              </w:numPr>
              <w:spacing w:before="40" w:after="40"/>
              <w:jc w:val="left"/>
              <w:rPr>
                <w:rFonts w:ascii="Arial" w:hAnsi="Arial" w:cs="Arial"/>
                <w:sz w:val="18"/>
                <w:szCs w:val="18"/>
              </w:rPr>
            </w:pPr>
            <w:r>
              <w:rPr>
                <w:rFonts w:ascii="Arial" w:hAnsi="Arial" w:cs="Arial"/>
                <w:sz w:val="18"/>
                <w:szCs w:val="18"/>
              </w:rPr>
              <w:t>T</w:t>
            </w:r>
            <w:r w:rsidR="003D07CA" w:rsidRPr="00637580">
              <w:rPr>
                <w:rFonts w:ascii="Arial" w:hAnsi="Arial" w:cs="Arial"/>
                <w:sz w:val="18"/>
                <w:szCs w:val="18"/>
              </w:rPr>
              <w:t>he institution has provided a means to identify the consumer to whom it was issued?</w:t>
            </w:r>
          </w:p>
        </w:tc>
        <w:tc>
          <w:tcPr>
            <w:tcW w:w="660" w:type="dxa"/>
            <w:gridSpan w:val="2"/>
          </w:tcPr>
          <w:p w14:paraId="69981A3B" w14:textId="77777777" w:rsidR="003D07CA" w:rsidRPr="00637580" w:rsidRDefault="003D07CA" w:rsidP="003E1F68">
            <w:pPr>
              <w:spacing w:before="40" w:after="40"/>
              <w:jc w:val="center"/>
              <w:rPr>
                <w:rFonts w:ascii="Arial" w:hAnsi="Arial" w:cs="Arial"/>
                <w:sz w:val="18"/>
                <w:szCs w:val="18"/>
              </w:rPr>
            </w:pPr>
          </w:p>
        </w:tc>
        <w:tc>
          <w:tcPr>
            <w:tcW w:w="660" w:type="dxa"/>
          </w:tcPr>
          <w:p w14:paraId="69981A3C"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3D" w14:textId="77777777" w:rsidR="003D07CA" w:rsidRPr="00637580" w:rsidRDefault="003D07CA" w:rsidP="003E1F68">
            <w:pPr>
              <w:spacing w:before="40" w:after="40"/>
              <w:jc w:val="center"/>
              <w:rPr>
                <w:rFonts w:ascii="Arial" w:hAnsi="Arial" w:cs="Arial"/>
                <w:sz w:val="18"/>
                <w:szCs w:val="18"/>
              </w:rPr>
            </w:pPr>
          </w:p>
        </w:tc>
      </w:tr>
      <w:tr w:rsidR="003D07CA" w:rsidRPr="008B7E6A" w14:paraId="69981A43" w14:textId="77777777" w:rsidTr="003E1F68">
        <w:tc>
          <w:tcPr>
            <w:tcW w:w="7020" w:type="dxa"/>
          </w:tcPr>
          <w:p w14:paraId="69981A3F" w14:textId="77777777" w:rsidR="003D07CA" w:rsidRPr="00691CA2" w:rsidRDefault="00654702" w:rsidP="00525B7F">
            <w:pPr>
              <w:pStyle w:val="Checklist1a"/>
              <w:numPr>
                <w:ilvl w:val="0"/>
                <w:numId w:val="119"/>
              </w:numPr>
              <w:spacing w:before="40" w:after="40"/>
              <w:jc w:val="left"/>
              <w:rPr>
                <w:rFonts w:ascii="Arial" w:hAnsi="Arial" w:cs="Arial"/>
                <w:sz w:val="18"/>
                <w:szCs w:val="18"/>
              </w:rPr>
            </w:pPr>
            <w:r>
              <w:rPr>
                <w:rFonts w:ascii="Arial" w:hAnsi="Arial" w:cs="Arial"/>
                <w:sz w:val="18"/>
                <w:szCs w:val="18"/>
              </w:rPr>
              <w:t>T</w:t>
            </w:r>
            <w:r w:rsidR="003D07CA" w:rsidRPr="007C7C6F">
              <w:rPr>
                <w:rFonts w:ascii="Arial" w:hAnsi="Arial" w:cs="Arial"/>
                <w:sz w:val="18"/>
                <w:szCs w:val="18"/>
              </w:rPr>
              <w:t>he institution has provided the disclosures required by 12</w:t>
            </w:r>
            <w:r w:rsidR="003D07CA">
              <w:rPr>
                <w:rFonts w:ascii="Arial" w:hAnsi="Arial" w:cs="Arial"/>
                <w:sz w:val="18"/>
                <w:szCs w:val="18"/>
              </w:rPr>
              <w:t> </w:t>
            </w:r>
            <w:r w:rsidR="003D07CA" w:rsidRPr="00691CA2">
              <w:rPr>
                <w:rFonts w:ascii="Arial" w:hAnsi="Arial" w:cs="Arial"/>
                <w:sz w:val="18"/>
                <w:szCs w:val="18"/>
              </w:rPr>
              <w:t>CFR</w:t>
            </w:r>
            <w:r w:rsidR="003D07CA">
              <w:rPr>
                <w:rFonts w:ascii="Arial" w:hAnsi="Arial" w:cs="Arial"/>
                <w:sz w:val="18"/>
                <w:szCs w:val="18"/>
              </w:rPr>
              <w:t> </w:t>
            </w:r>
            <w:r w:rsidR="007135E4">
              <w:rPr>
                <w:rFonts w:ascii="Arial" w:hAnsi="Arial" w:cs="Arial"/>
                <w:sz w:val="18"/>
                <w:szCs w:val="18"/>
              </w:rPr>
              <w:t>1005.7(b</w:t>
            </w:r>
            <w:proofErr w:type="gramStart"/>
            <w:r w:rsidR="007135E4">
              <w:rPr>
                <w:rFonts w:ascii="Arial" w:hAnsi="Arial" w:cs="Arial"/>
                <w:sz w:val="18"/>
                <w:szCs w:val="18"/>
              </w:rPr>
              <w:t>)</w:t>
            </w:r>
            <w:r w:rsidR="003D07CA" w:rsidRPr="00691CA2">
              <w:rPr>
                <w:rFonts w:ascii="Arial" w:hAnsi="Arial" w:cs="Arial"/>
                <w:sz w:val="18"/>
                <w:szCs w:val="18"/>
              </w:rPr>
              <w:t>(</w:t>
            </w:r>
            <w:proofErr w:type="gramEnd"/>
            <w:r w:rsidR="003D07CA" w:rsidRPr="00691CA2">
              <w:rPr>
                <w:rFonts w:ascii="Arial" w:hAnsi="Arial" w:cs="Arial"/>
                <w:sz w:val="18"/>
                <w:szCs w:val="18"/>
              </w:rPr>
              <w:t>l), (2), and (3)?</w:t>
            </w:r>
          </w:p>
        </w:tc>
        <w:tc>
          <w:tcPr>
            <w:tcW w:w="660" w:type="dxa"/>
            <w:gridSpan w:val="2"/>
          </w:tcPr>
          <w:p w14:paraId="69981A40" w14:textId="77777777" w:rsidR="003D07CA" w:rsidRPr="007C7C6F" w:rsidRDefault="003D07CA" w:rsidP="003E1F68">
            <w:pPr>
              <w:spacing w:before="40" w:after="40"/>
              <w:jc w:val="center"/>
              <w:rPr>
                <w:rFonts w:ascii="Arial" w:hAnsi="Arial" w:cs="Arial"/>
                <w:sz w:val="18"/>
                <w:szCs w:val="18"/>
              </w:rPr>
            </w:pPr>
          </w:p>
        </w:tc>
        <w:tc>
          <w:tcPr>
            <w:tcW w:w="660" w:type="dxa"/>
          </w:tcPr>
          <w:p w14:paraId="69981A41" w14:textId="77777777" w:rsidR="003D07CA" w:rsidRPr="007C7C6F" w:rsidRDefault="003D07CA" w:rsidP="003E1F68">
            <w:pPr>
              <w:spacing w:before="40" w:after="40"/>
              <w:jc w:val="center"/>
              <w:rPr>
                <w:rFonts w:ascii="Arial" w:hAnsi="Arial" w:cs="Arial"/>
                <w:sz w:val="18"/>
                <w:szCs w:val="18"/>
              </w:rPr>
            </w:pPr>
          </w:p>
        </w:tc>
        <w:tc>
          <w:tcPr>
            <w:tcW w:w="660" w:type="dxa"/>
            <w:gridSpan w:val="2"/>
          </w:tcPr>
          <w:p w14:paraId="69981A42" w14:textId="77777777" w:rsidR="003D07CA" w:rsidRPr="008B7E6A" w:rsidRDefault="003D07CA" w:rsidP="003E1F68">
            <w:pPr>
              <w:spacing w:before="40" w:after="40"/>
              <w:jc w:val="center"/>
              <w:rPr>
                <w:rFonts w:ascii="Arial" w:hAnsi="Arial" w:cs="Arial"/>
                <w:sz w:val="18"/>
                <w:szCs w:val="18"/>
              </w:rPr>
            </w:pPr>
          </w:p>
        </w:tc>
      </w:tr>
      <w:tr w:rsidR="003D07CA" w:rsidRPr="00637580" w14:paraId="69981A48" w14:textId="77777777" w:rsidTr="003E1F68">
        <w:tc>
          <w:tcPr>
            <w:tcW w:w="7020" w:type="dxa"/>
          </w:tcPr>
          <w:p w14:paraId="69981A44"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8B7E6A">
              <w:rPr>
                <w:rFonts w:ascii="Arial" w:hAnsi="Arial" w:cs="Arial"/>
                <w:sz w:val="18"/>
                <w:szCs w:val="18"/>
              </w:rPr>
              <w:t>Does the financial institution NOT rely on consumer negligence or the deposit agreement to impose greater consumer liability for unauthorized EFTs than is permitted under Regulation E? (staff commentaries 1005.6(b)–</w:t>
            </w:r>
            <w:r w:rsidRPr="00637580">
              <w:rPr>
                <w:rFonts w:ascii="Arial" w:hAnsi="Arial" w:cs="Arial"/>
                <w:sz w:val="18"/>
                <w:szCs w:val="18"/>
              </w:rPr>
              <w:t>1</w:t>
            </w:r>
            <w:r w:rsidR="00147C48">
              <w:rPr>
                <w:rFonts w:ascii="Arial" w:hAnsi="Arial" w:cs="Arial"/>
                <w:sz w:val="18"/>
                <w:szCs w:val="18"/>
              </w:rPr>
              <w:t xml:space="preserve"> and </w:t>
            </w:r>
            <w:r w:rsidR="00147C48" w:rsidRPr="008B7E6A">
              <w:rPr>
                <w:rFonts w:ascii="Arial" w:hAnsi="Arial" w:cs="Arial"/>
                <w:sz w:val="18"/>
                <w:szCs w:val="18"/>
              </w:rPr>
              <w:t>–</w:t>
            </w:r>
            <w:r w:rsidRPr="00637580">
              <w:rPr>
                <w:rFonts w:ascii="Arial" w:hAnsi="Arial" w:cs="Arial"/>
                <w:sz w:val="18"/>
                <w:szCs w:val="18"/>
              </w:rPr>
              <w:t>2)</w:t>
            </w:r>
          </w:p>
        </w:tc>
        <w:tc>
          <w:tcPr>
            <w:tcW w:w="660" w:type="dxa"/>
            <w:gridSpan w:val="2"/>
          </w:tcPr>
          <w:p w14:paraId="69981A45" w14:textId="77777777" w:rsidR="003D07CA" w:rsidRPr="00637580" w:rsidRDefault="003D07CA" w:rsidP="003E1F68">
            <w:pPr>
              <w:spacing w:before="40" w:after="40"/>
              <w:jc w:val="center"/>
              <w:rPr>
                <w:rFonts w:ascii="Arial" w:hAnsi="Arial" w:cs="Arial"/>
                <w:sz w:val="18"/>
                <w:szCs w:val="18"/>
              </w:rPr>
            </w:pPr>
          </w:p>
        </w:tc>
        <w:tc>
          <w:tcPr>
            <w:tcW w:w="660" w:type="dxa"/>
          </w:tcPr>
          <w:p w14:paraId="69981A46"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47" w14:textId="77777777" w:rsidR="003D07CA" w:rsidRPr="00637580" w:rsidRDefault="003D07CA" w:rsidP="003E1F68">
            <w:pPr>
              <w:spacing w:before="40" w:after="40"/>
              <w:jc w:val="center"/>
              <w:rPr>
                <w:rFonts w:ascii="Arial" w:hAnsi="Arial" w:cs="Arial"/>
                <w:sz w:val="18"/>
                <w:szCs w:val="18"/>
              </w:rPr>
            </w:pPr>
          </w:p>
        </w:tc>
      </w:tr>
      <w:tr w:rsidR="003D07CA" w:rsidRPr="00637580" w14:paraId="69981A4D" w14:textId="77777777" w:rsidTr="003E1F68">
        <w:tc>
          <w:tcPr>
            <w:tcW w:w="7020" w:type="dxa"/>
          </w:tcPr>
          <w:p w14:paraId="69981A49"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lastRenderedPageBreak/>
              <w:t>If a consumer notifies the financial institution within two business days after learning of the loss or theft of an access device, does the financial institution limit the consumer’s liability for unauthorized EFTs to the lesser of $50 or actual loss? (12 CFR 1005.6(b)(1))</w:t>
            </w:r>
          </w:p>
        </w:tc>
        <w:tc>
          <w:tcPr>
            <w:tcW w:w="660" w:type="dxa"/>
            <w:gridSpan w:val="2"/>
            <w:tcBorders>
              <w:bottom w:val="single" w:sz="4" w:space="0" w:color="auto"/>
            </w:tcBorders>
          </w:tcPr>
          <w:p w14:paraId="69981A4A"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A4B" w14:textId="77777777" w:rsidR="003D07CA" w:rsidRPr="00637580" w:rsidRDefault="003D07CA" w:rsidP="003E1F68">
            <w:pPr>
              <w:spacing w:before="40" w:after="40"/>
              <w:jc w:val="center"/>
              <w:rPr>
                <w:rFonts w:ascii="Arial" w:hAnsi="Arial" w:cs="Arial"/>
                <w:sz w:val="18"/>
                <w:szCs w:val="18"/>
              </w:rPr>
            </w:pPr>
          </w:p>
        </w:tc>
        <w:tc>
          <w:tcPr>
            <w:tcW w:w="660" w:type="dxa"/>
            <w:gridSpan w:val="2"/>
            <w:tcBorders>
              <w:bottom w:val="single" w:sz="4" w:space="0" w:color="auto"/>
            </w:tcBorders>
          </w:tcPr>
          <w:p w14:paraId="69981A4C" w14:textId="77777777" w:rsidR="003D07CA" w:rsidRPr="00637580" w:rsidRDefault="003D07CA" w:rsidP="003E1F68">
            <w:pPr>
              <w:spacing w:before="40" w:after="40"/>
              <w:jc w:val="center"/>
              <w:rPr>
                <w:rFonts w:ascii="Arial" w:hAnsi="Arial" w:cs="Arial"/>
                <w:sz w:val="18"/>
                <w:szCs w:val="18"/>
              </w:rPr>
            </w:pPr>
          </w:p>
        </w:tc>
      </w:tr>
      <w:tr w:rsidR="003D07CA" w:rsidRPr="00637580" w14:paraId="69981A52" w14:textId="77777777" w:rsidTr="003E1F68">
        <w:tc>
          <w:tcPr>
            <w:tcW w:w="7020" w:type="dxa"/>
          </w:tcPr>
          <w:p w14:paraId="69981A4E"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If a consumer does not notify the financial institution within two business days after learning of the loss or theft of an access device, does the institution limit the consumer’s liability for unauthorized EFTs to the lesser of $500 or the sum of (12 CFR 1005.6(b)(2))</w:t>
            </w:r>
          </w:p>
        </w:tc>
        <w:tc>
          <w:tcPr>
            <w:tcW w:w="660" w:type="dxa"/>
            <w:gridSpan w:val="2"/>
            <w:shd w:val="clear" w:color="auto" w:fill="D9D9D9" w:themeFill="background1" w:themeFillShade="D9"/>
          </w:tcPr>
          <w:p w14:paraId="69981A4F"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A50" w14:textId="77777777" w:rsidR="003D07CA" w:rsidRPr="00637580" w:rsidRDefault="003D07CA" w:rsidP="003E1F68">
            <w:pPr>
              <w:spacing w:before="40" w:after="40"/>
              <w:jc w:val="center"/>
              <w:rPr>
                <w:rFonts w:ascii="Arial" w:hAnsi="Arial" w:cs="Arial"/>
                <w:b/>
                <w:sz w:val="18"/>
                <w:szCs w:val="18"/>
              </w:rPr>
            </w:pPr>
          </w:p>
        </w:tc>
        <w:tc>
          <w:tcPr>
            <w:tcW w:w="660" w:type="dxa"/>
            <w:gridSpan w:val="2"/>
            <w:shd w:val="clear" w:color="auto" w:fill="D9D9D9" w:themeFill="background1" w:themeFillShade="D9"/>
          </w:tcPr>
          <w:p w14:paraId="69981A51"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A57" w14:textId="77777777" w:rsidTr="003E1F68">
        <w:tc>
          <w:tcPr>
            <w:tcW w:w="7020" w:type="dxa"/>
          </w:tcPr>
          <w:p w14:paraId="69981A53" w14:textId="77777777" w:rsidR="003D07CA" w:rsidRPr="00637580" w:rsidRDefault="003D07CA" w:rsidP="00525B7F">
            <w:pPr>
              <w:pStyle w:val="Checklist1a"/>
              <w:numPr>
                <w:ilvl w:val="0"/>
                <w:numId w:val="120"/>
              </w:numPr>
              <w:spacing w:before="40" w:after="40"/>
              <w:ind w:right="40"/>
              <w:jc w:val="left"/>
              <w:rPr>
                <w:rFonts w:ascii="Arial" w:hAnsi="Arial" w:cs="Arial"/>
                <w:sz w:val="18"/>
                <w:szCs w:val="18"/>
              </w:rPr>
            </w:pPr>
            <w:r w:rsidRPr="00637580">
              <w:rPr>
                <w:rFonts w:ascii="Arial" w:hAnsi="Arial" w:cs="Arial"/>
                <w:sz w:val="18"/>
                <w:szCs w:val="18"/>
              </w:rPr>
              <w:t>$50 or the amount of unauthorized EFTs that occurred within the two business days, whichever is less</w:t>
            </w:r>
            <w:r>
              <w:rPr>
                <w:rFonts w:ascii="Arial" w:hAnsi="Arial" w:cs="Arial"/>
                <w:sz w:val="18"/>
                <w:szCs w:val="18"/>
              </w:rPr>
              <w:t>?</w:t>
            </w:r>
          </w:p>
        </w:tc>
        <w:tc>
          <w:tcPr>
            <w:tcW w:w="660" w:type="dxa"/>
            <w:gridSpan w:val="2"/>
          </w:tcPr>
          <w:p w14:paraId="69981A54" w14:textId="77777777" w:rsidR="003D07CA" w:rsidRPr="00637580" w:rsidRDefault="003D07CA" w:rsidP="003E1F68">
            <w:pPr>
              <w:spacing w:before="40" w:after="40"/>
              <w:jc w:val="center"/>
              <w:rPr>
                <w:rFonts w:ascii="Arial" w:hAnsi="Arial" w:cs="Arial"/>
                <w:sz w:val="18"/>
                <w:szCs w:val="18"/>
              </w:rPr>
            </w:pPr>
          </w:p>
        </w:tc>
        <w:tc>
          <w:tcPr>
            <w:tcW w:w="660" w:type="dxa"/>
          </w:tcPr>
          <w:p w14:paraId="69981A55"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56" w14:textId="77777777" w:rsidR="003D07CA" w:rsidRPr="00637580" w:rsidRDefault="003D07CA" w:rsidP="003E1F68">
            <w:pPr>
              <w:spacing w:before="40" w:after="40"/>
              <w:jc w:val="center"/>
              <w:rPr>
                <w:rFonts w:ascii="Arial" w:hAnsi="Arial" w:cs="Arial"/>
                <w:sz w:val="18"/>
                <w:szCs w:val="18"/>
              </w:rPr>
            </w:pPr>
          </w:p>
        </w:tc>
      </w:tr>
      <w:tr w:rsidR="003D07CA" w:rsidRPr="00637580" w14:paraId="69981A5C" w14:textId="77777777" w:rsidTr="003E1F68">
        <w:tc>
          <w:tcPr>
            <w:tcW w:w="7020" w:type="dxa"/>
          </w:tcPr>
          <w:p w14:paraId="69981A58" w14:textId="77777777" w:rsidR="003D07CA" w:rsidRPr="00637580" w:rsidRDefault="003D07CA" w:rsidP="00525B7F">
            <w:pPr>
              <w:pStyle w:val="Checklist1a"/>
              <w:numPr>
                <w:ilvl w:val="0"/>
                <w:numId w:val="120"/>
              </w:numPr>
              <w:spacing w:before="40" w:after="40"/>
              <w:jc w:val="left"/>
              <w:rPr>
                <w:rFonts w:ascii="Arial" w:hAnsi="Arial" w:cs="Arial"/>
                <w:sz w:val="18"/>
                <w:szCs w:val="18"/>
              </w:rPr>
            </w:pPr>
            <w:r w:rsidRPr="00637580">
              <w:rPr>
                <w:rFonts w:ascii="Arial" w:hAnsi="Arial" w:cs="Arial"/>
                <w:sz w:val="18"/>
                <w:szCs w:val="18"/>
              </w:rPr>
              <w:t>the amount of unauthorized EFTs that occurred after the close of two business days and before notice to the financial institution (provided the financial institution establish that these transfers would not have occurred had the consumer notified the financial institution within that two-day period)?</w:t>
            </w:r>
          </w:p>
        </w:tc>
        <w:tc>
          <w:tcPr>
            <w:tcW w:w="660" w:type="dxa"/>
            <w:gridSpan w:val="2"/>
          </w:tcPr>
          <w:p w14:paraId="69981A59" w14:textId="77777777" w:rsidR="003D07CA" w:rsidRPr="00637580" w:rsidRDefault="003D07CA" w:rsidP="003E1F68">
            <w:pPr>
              <w:spacing w:before="40" w:after="40"/>
              <w:jc w:val="center"/>
              <w:rPr>
                <w:rFonts w:ascii="Arial" w:hAnsi="Arial" w:cs="Arial"/>
                <w:sz w:val="18"/>
                <w:szCs w:val="18"/>
              </w:rPr>
            </w:pPr>
          </w:p>
        </w:tc>
        <w:tc>
          <w:tcPr>
            <w:tcW w:w="660" w:type="dxa"/>
          </w:tcPr>
          <w:p w14:paraId="69981A5A"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5B" w14:textId="77777777" w:rsidR="003D07CA" w:rsidRPr="00637580" w:rsidRDefault="003D07CA" w:rsidP="003E1F68">
            <w:pPr>
              <w:spacing w:before="40" w:after="40"/>
              <w:jc w:val="center"/>
              <w:rPr>
                <w:rFonts w:ascii="Arial" w:hAnsi="Arial" w:cs="Arial"/>
                <w:sz w:val="18"/>
                <w:szCs w:val="18"/>
              </w:rPr>
            </w:pPr>
          </w:p>
        </w:tc>
      </w:tr>
      <w:tr w:rsidR="003D07CA" w:rsidRPr="00637580" w14:paraId="69981A61" w14:textId="77777777" w:rsidTr="003E1F68">
        <w:tc>
          <w:tcPr>
            <w:tcW w:w="7020" w:type="dxa"/>
          </w:tcPr>
          <w:p w14:paraId="69981A5D"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If a consumer notifies the financial institution of an unauthorized EFT within 60 calendar days of transmittal of the periodic statement upon which the unauthorized EFT appears, does the financial institution not hold the consumer liable for the unauthorized transfers that occur after the 60-day period? (12</w:t>
            </w:r>
            <w:r>
              <w:rPr>
                <w:rFonts w:ascii="Arial" w:hAnsi="Arial" w:cs="Arial"/>
                <w:sz w:val="18"/>
                <w:szCs w:val="18"/>
              </w:rPr>
              <w:t> </w:t>
            </w:r>
            <w:r w:rsidRPr="00637580">
              <w:rPr>
                <w:rFonts w:ascii="Arial" w:hAnsi="Arial" w:cs="Arial"/>
                <w:sz w:val="18"/>
                <w:szCs w:val="18"/>
              </w:rPr>
              <w:t>CFR 1005.6(b)(3))</w:t>
            </w:r>
          </w:p>
        </w:tc>
        <w:tc>
          <w:tcPr>
            <w:tcW w:w="660" w:type="dxa"/>
            <w:gridSpan w:val="2"/>
          </w:tcPr>
          <w:p w14:paraId="69981A5E" w14:textId="77777777" w:rsidR="003D07CA" w:rsidRPr="00637580" w:rsidRDefault="003D07CA" w:rsidP="003E1F68">
            <w:pPr>
              <w:spacing w:before="40" w:after="40"/>
              <w:jc w:val="center"/>
              <w:rPr>
                <w:rFonts w:ascii="Arial" w:hAnsi="Arial" w:cs="Arial"/>
                <w:sz w:val="18"/>
                <w:szCs w:val="18"/>
              </w:rPr>
            </w:pPr>
          </w:p>
        </w:tc>
        <w:tc>
          <w:tcPr>
            <w:tcW w:w="660" w:type="dxa"/>
          </w:tcPr>
          <w:p w14:paraId="69981A5F"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60" w14:textId="77777777" w:rsidR="003D07CA" w:rsidRPr="00637580" w:rsidRDefault="003D07CA" w:rsidP="003E1F68">
            <w:pPr>
              <w:spacing w:before="40" w:after="40"/>
              <w:jc w:val="center"/>
              <w:rPr>
                <w:rFonts w:ascii="Arial" w:hAnsi="Arial" w:cs="Arial"/>
                <w:sz w:val="18"/>
                <w:szCs w:val="18"/>
              </w:rPr>
            </w:pPr>
          </w:p>
        </w:tc>
      </w:tr>
      <w:tr w:rsidR="003D07CA" w:rsidRPr="00637580" w14:paraId="69981A66" w14:textId="77777777" w:rsidTr="003E1F68">
        <w:tc>
          <w:tcPr>
            <w:tcW w:w="7020" w:type="dxa"/>
          </w:tcPr>
          <w:p w14:paraId="69981A62"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If a consumer does not notify the financial ins</w:t>
            </w:r>
            <w:r w:rsidR="00325A5A">
              <w:rPr>
                <w:rFonts w:ascii="Arial" w:hAnsi="Arial" w:cs="Arial"/>
                <w:sz w:val="18"/>
                <w:szCs w:val="18"/>
              </w:rPr>
              <w:t>titution of an unauthorized EFT </w:t>
            </w:r>
            <w:r w:rsidRPr="00637580">
              <w:rPr>
                <w:rFonts w:ascii="Arial" w:hAnsi="Arial" w:cs="Arial"/>
                <w:sz w:val="18"/>
                <w:szCs w:val="18"/>
              </w:rPr>
              <w:t>within 60 calendar days of transmittal of the periodic statement upon which the unauthorized EFT appears, does the fi</w:t>
            </w:r>
            <w:r w:rsidR="00325A5A">
              <w:rPr>
                <w:rFonts w:ascii="Arial" w:hAnsi="Arial" w:cs="Arial"/>
                <w:sz w:val="18"/>
                <w:szCs w:val="18"/>
              </w:rPr>
              <w:t>nancial institution ensure that </w:t>
            </w:r>
            <w:r w:rsidRPr="00637580">
              <w:rPr>
                <w:rFonts w:ascii="Arial" w:hAnsi="Arial" w:cs="Arial"/>
                <w:sz w:val="18"/>
                <w:szCs w:val="18"/>
              </w:rPr>
              <w:t>the consumer’s liability does not exceed the amount of the unauthorized transfers that occur after the close of the 6</w:t>
            </w:r>
            <w:r w:rsidR="00325A5A">
              <w:rPr>
                <w:rFonts w:ascii="Arial" w:hAnsi="Arial" w:cs="Arial"/>
                <w:sz w:val="18"/>
                <w:szCs w:val="18"/>
              </w:rPr>
              <w:t>0 days and before notice to the </w:t>
            </w:r>
            <w:r w:rsidRPr="00637580">
              <w:rPr>
                <w:rFonts w:ascii="Arial" w:hAnsi="Arial" w:cs="Arial"/>
                <w:sz w:val="18"/>
                <w:szCs w:val="18"/>
              </w:rPr>
              <w:t>financial institution, if the financial institution establishes that the transfers would not have occurred had timely notice been given?</w:t>
            </w:r>
            <w:r w:rsidR="00325A5A">
              <w:rPr>
                <w:rFonts w:ascii="Arial" w:hAnsi="Arial" w:cs="Arial"/>
                <w:sz w:val="18"/>
                <w:szCs w:val="18"/>
              </w:rPr>
              <w:br/>
            </w:r>
            <w:r w:rsidRPr="00637580">
              <w:rPr>
                <w:rFonts w:ascii="Arial" w:hAnsi="Arial" w:cs="Arial"/>
                <w:sz w:val="18"/>
                <w:szCs w:val="18"/>
              </w:rPr>
              <w:t xml:space="preserve">(12 CFR 1005.6(b)(3)) </w:t>
            </w:r>
          </w:p>
        </w:tc>
        <w:tc>
          <w:tcPr>
            <w:tcW w:w="660" w:type="dxa"/>
            <w:gridSpan w:val="2"/>
          </w:tcPr>
          <w:p w14:paraId="69981A63" w14:textId="77777777" w:rsidR="003D07CA" w:rsidRPr="00637580" w:rsidRDefault="003D07CA" w:rsidP="003E1F68">
            <w:pPr>
              <w:spacing w:before="40" w:after="40"/>
              <w:jc w:val="center"/>
              <w:rPr>
                <w:rFonts w:ascii="Arial" w:hAnsi="Arial" w:cs="Arial"/>
                <w:sz w:val="18"/>
                <w:szCs w:val="18"/>
              </w:rPr>
            </w:pPr>
          </w:p>
        </w:tc>
        <w:tc>
          <w:tcPr>
            <w:tcW w:w="660" w:type="dxa"/>
          </w:tcPr>
          <w:p w14:paraId="69981A64"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65" w14:textId="77777777" w:rsidR="003D07CA" w:rsidRPr="00637580" w:rsidRDefault="003D07CA" w:rsidP="003E1F68">
            <w:pPr>
              <w:spacing w:before="40" w:after="40"/>
              <w:jc w:val="center"/>
              <w:rPr>
                <w:rFonts w:ascii="Arial" w:hAnsi="Arial" w:cs="Arial"/>
                <w:sz w:val="18"/>
                <w:szCs w:val="18"/>
              </w:rPr>
            </w:pPr>
          </w:p>
        </w:tc>
      </w:tr>
      <w:tr w:rsidR="003D07CA" w:rsidRPr="00637580" w14:paraId="69981A6D" w14:textId="77777777" w:rsidTr="003E1F68">
        <w:tc>
          <w:tcPr>
            <w:tcW w:w="7020" w:type="dxa"/>
          </w:tcPr>
          <w:p w14:paraId="69981A67"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If a consumer notifies the financial institution of an unauthorized EFT within the time</w:t>
            </w:r>
            <w:r>
              <w:rPr>
                <w:rFonts w:ascii="Arial" w:hAnsi="Arial" w:cs="Arial"/>
                <w:sz w:val="18"/>
                <w:szCs w:val="18"/>
              </w:rPr>
              <w:t xml:space="preserve"> </w:t>
            </w:r>
            <w:r w:rsidRPr="00637580">
              <w:rPr>
                <w:rFonts w:ascii="Arial" w:hAnsi="Arial" w:cs="Arial"/>
                <w:sz w:val="18"/>
                <w:szCs w:val="18"/>
              </w:rPr>
              <w:t>frames discussed in questions 7</w:t>
            </w:r>
            <w:r w:rsidR="003A79D1">
              <w:rPr>
                <w:rFonts w:ascii="Arial" w:hAnsi="Arial" w:cs="Arial"/>
                <w:sz w:val="18"/>
                <w:szCs w:val="18"/>
              </w:rPr>
              <w:t xml:space="preserve"> </w:t>
            </w:r>
            <w:r w:rsidRPr="00637580">
              <w:rPr>
                <w:rFonts w:ascii="Arial" w:hAnsi="Arial" w:cs="Arial"/>
                <w:sz w:val="18"/>
                <w:szCs w:val="18"/>
              </w:rPr>
              <w:t>or 8 and the consumer’s access device is involved in the unauthorized transfer, does the financial institution hold the consumer liable for amounts as set forth in 12 CFR 1005.6(b)(1) or (2) (discussed in questions 5 and 6)? (12 CFR 1005.6(b)(3))</w:t>
            </w:r>
          </w:p>
          <w:p w14:paraId="69981A68" w14:textId="77777777" w:rsidR="003D07CA" w:rsidRPr="00637580" w:rsidRDefault="003D07CA" w:rsidP="003E1F68">
            <w:pPr>
              <w:pStyle w:val="Checklist1"/>
              <w:spacing w:before="40" w:after="40"/>
              <w:ind w:left="522"/>
              <w:rPr>
                <w:rFonts w:ascii="Arial" w:hAnsi="Arial" w:cs="Arial"/>
                <w:sz w:val="18"/>
                <w:szCs w:val="18"/>
              </w:rPr>
            </w:pPr>
          </w:p>
          <w:p w14:paraId="69981A69" w14:textId="77777777" w:rsidR="003D07CA" w:rsidRPr="00637580" w:rsidRDefault="003D07CA" w:rsidP="003E1F68">
            <w:pPr>
              <w:pStyle w:val="Checklist1"/>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The first two tiers of liability (as set forth in 12 CFR 1005.6(b</w:t>
            </w:r>
            <w:proofErr w:type="gramStart"/>
            <w:r w:rsidRPr="00637580">
              <w:rPr>
                <w:rFonts w:ascii="Arial" w:hAnsi="Arial" w:cs="Arial"/>
                <w:sz w:val="18"/>
                <w:szCs w:val="18"/>
              </w:rPr>
              <w:t>)(</w:t>
            </w:r>
            <w:proofErr w:type="gramEnd"/>
            <w:r w:rsidRPr="00637580">
              <w:rPr>
                <w:rFonts w:ascii="Arial" w:hAnsi="Arial" w:cs="Arial"/>
                <w:sz w:val="18"/>
                <w:szCs w:val="18"/>
              </w:rPr>
              <w:t>1) and (2) and discussed in questions 5 and 6) do not apply to unauthorized transfers from a consumer’s account made without an access device. (staff commentary 1005.6(b)(3)–2)</w:t>
            </w:r>
          </w:p>
        </w:tc>
        <w:tc>
          <w:tcPr>
            <w:tcW w:w="660" w:type="dxa"/>
            <w:gridSpan w:val="2"/>
          </w:tcPr>
          <w:p w14:paraId="69981A6A" w14:textId="77777777" w:rsidR="003D07CA" w:rsidRPr="00637580" w:rsidRDefault="003D07CA" w:rsidP="003E1F68">
            <w:pPr>
              <w:spacing w:before="40" w:after="40"/>
              <w:jc w:val="center"/>
              <w:rPr>
                <w:rFonts w:ascii="Arial" w:hAnsi="Arial" w:cs="Arial"/>
                <w:sz w:val="18"/>
                <w:szCs w:val="18"/>
              </w:rPr>
            </w:pPr>
          </w:p>
        </w:tc>
        <w:tc>
          <w:tcPr>
            <w:tcW w:w="660" w:type="dxa"/>
          </w:tcPr>
          <w:p w14:paraId="69981A6B"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6C" w14:textId="77777777" w:rsidR="003D07CA" w:rsidRPr="00637580" w:rsidRDefault="003D07CA" w:rsidP="003E1F68">
            <w:pPr>
              <w:spacing w:before="40" w:after="40"/>
              <w:jc w:val="center"/>
              <w:rPr>
                <w:rFonts w:ascii="Arial" w:hAnsi="Arial" w:cs="Arial"/>
                <w:sz w:val="18"/>
                <w:szCs w:val="18"/>
              </w:rPr>
            </w:pPr>
          </w:p>
        </w:tc>
      </w:tr>
      <w:tr w:rsidR="003D07CA" w:rsidRPr="00637580" w14:paraId="69981A72" w14:textId="77777777" w:rsidTr="003E1F68">
        <w:tc>
          <w:tcPr>
            <w:tcW w:w="7020" w:type="dxa"/>
          </w:tcPr>
          <w:p w14:paraId="69981A6E"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Does the financial institution extend the 60-day time period by a reasonable amount, if the consumer’s delay in notification was due to extenuating circumstance? (12 CFR 1005.6(b)(4))</w:t>
            </w:r>
          </w:p>
        </w:tc>
        <w:tc>
          <w:tcPr>
            <w:tcW w:w="660" w:type="dxa"/>
            <w:gridSpan w:val="2"/>
          </w:tcPr>
          <w:p w14:paraId="69981A6F" w14:textId="77777777" w:rsidR="003D07CA" w:rsidRPr="00637580" w:rsidRDefault="003D07CA" w:rsidP="003E1F68">
            <w:pPr>
              <w:spacing w:before="40" w:after="40"/>
              <w:jc w:val="center"/>
              <w:rPr>
                <w:rFonts w:ascii="Arial" w:hAnsi="Arial" w:cs="Arial"/>
                <w:sz w:val="18"/>
                <w:szCs w:val="18"/>
              </w:rPr>
            </w:pPr>
          </w:p>
        </w:tc>
        <w:tc>
          <w:tcPr>
            <w:tcW w:w="660" w:type="dxa"/>
          </w:tcPr>
          <w:p w14:paraId="69981A70"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71" w14:textId="77777777" w:rsidR="003D07CA" w:rsidRPr="00637580" w:rsidRDefault="003D07CA" w:rsidP="003E1F68">
            <w:pPr>
              <w:spacing w:before="40" w:after="40"/>
              <w:jc w:val="center"/>
              <w:rPr>
                <w:rFonts w:ascii="Arial" w:hAnsi="Arial" w:cs="Arial"/>
                <w:sz w:val="18"/>
                <w:szCs w:val="18"/>
              </w:rPr>
            </w:pPr>
          </w:p>
        </w:tc>
      </w:tr>
      <w:tr w:rsidR="003D07CA" w:rsidRPr="00637580" w14:paraId="69981A77" w14:textId="77777777" w:rsidTr="003E1F68">
        <w:tc>
          <w:tcPr>
            <w:tcW w:w="7020" w:type="dxa"/>
          </w:tcPr>
          <w:p w14:paraId="69981A73"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Does the financial institution consider notice to be made when the consumer takes steps reasonably necessary to provide the institution with pertinent information, whether or not a particular employee or agent of the institution actually received the information? (12 CFR 1005.6(b)(5)(i))</w:t>
            </w:r>
          </w:p>
        </w:tc>
        <w:tc>
          <w:tcPr>
            <w:tcW w:w="660" w:type="dxa"/>
            <w:gridSpan w:val="2"/>
          </w:tcPr>
          <w:p w14:paraId="69981A74" w14:textId="77777777" w:rsidR="003D07CA" w:rsidRPr="00637580" w:rsidRDefault="003D07CA" w:rsidP="003E1F68">
            <w:pPr>
              <w:spacing w:before="40" w:after="40"/>
              <w:jc w:val="center"/>
              <w:rPr>
                <w:rFonts w:ascii="Arial" w:hAnsi="Arial" w:cs="Arial"/>
                <w:sz w:val="18"/>
                <w:szCs w:val="18"/>
              </w:rPr>
            </w:pPr>
          </w:p>
        </w:tc>
        <w:tc>
          <w:tcPr>
            <w:tcW w:w="660" w:type="dxa"/>
          </w:tcPr>
          <w:p w14:paraId="69981A75"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76" w14:textId="77777777" w:rsidR="003D07CA" w:rsidRPr="00637580" w:rsidRDefault="003D07CA" w:rsidP="003E1F68">
            <w:pPr>
              <w:spacing w:before="40" w:after="40"/>
              <w:jc w:val="center"/>
              <w:rPr>
                <w:rFonts w:ascii="Arial" w:hAnsi="Arial" w:cs="Arial"/>
                <w:sz w:val="18"/>
                <w:szCs w:val="18"/>
              </w:rPr>
            </w:pPr>
          </w:p>
        </w:tc>
      </w:tr>
      <w:tr w:rsidR="003D07CA" w:rsidRPr="00637580" w14:paraId="69981A7C" w14:textId="77777777" w:rsidTr="003E1F68">
        <w:tc>
          <w:tcPr>
            <w:tcW w:w="7020" w:type="dxa"/>
          </w:tcPr>
          <w:p w14:paraId="69981A78"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Does the financial institution allow the consumer to provide notice in person, by telephone, or in writing? (12 CFR 1005.6(b)(5)(ii))</w:t>
            </w:r>
          </w:p>
        </w:tc>
        <w:tc>
          <w:tcPr>
            <w:tcW w:w="660" w:type="dxa"/>
            <w:gridSpan w:val="2"/>
          </w:tcPr>
          <w:p w14:paraId="69981A79" w14:textId="77777777" w:rsidR="003D07CA" w:rsidRPr="00637580" w:rsidRDefault="003D07CA" w:rsidP="003E1F68">
            <w:pPr>
              <w:spacing w:before="40" w:after="40"/>
              <w:jc w:val="center"/>
              <w:rPr>
                <w:rFonts w:ascii="Arial" w:hAnsi="Arial" w:cs="Arial"/>
                <w:sz w:val="18"/>
                <w:szCs w:val="18"/>
              </w:rPr>
            </w:pPr>
          </w:p>
        </w:tc>
        <w:tc>
          <w:tcPr>
            <w:tcW w:w="660" w:type="dxa"/>
          </w:tcPr>
          <w:p w14:paraId="69981A7A"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7B" w14:textId="77777777" w:rsidR="003D07CA" w:rsidRPr="00637580" w:rsidRDefault="003D07CA" w:rsidP="003E1F68">
            <w:pPr>
              <w:spacing w:before="40" w:after="40"/>
              <w:jc w:val="center"/>
              <w:rPr>
                <w:rFonts w:ascii="Arial" w:hAnsi="Arial" w:cs="Arial"/>
                <w:sz w:val="18"/>
                <w:szCs w:val="18"/>
              </w:rPr>
            </w:pPr>
          </w:p>
        </w:tc>
      </w:tr>
      <w:tr w:rsidR="003D07CA" w:rsidRPr="00637580" w14:paraId="69981A81" w14:textId="77777777" w:rsidTr="003E1F68">
        <w:tc>
          <w:tcPr>
            <w:tcW w:w="7020" w:type="dxa"/>
          </w:tcPr>
          <w:p w14:paraId="69981A7D"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Does the financial institution consider written notice to be given at the time the consumer mails or delivers the notice for transmission to the institution by any other usual means? (12 CFR 1005.6(b)(5)(iii))</w:t>
            </w:r>
          </w:p>
        </w:tc>
        <w:tc>
          <w:tcPr>
            <w:tcW w:w="660" w:type="dxa"/>
            <w:gridSpan w:val="2"/>
          </w:tcPr>
          <w:p w14:paraId="69981A7E" w14:textId="77777777" w:rsidR="003D07CA" w:rsidRPr="00637580" w:rsidRDefault="003D07CA" w:rsidP="003E1F68">
            <w:pPr>
              <w:spacing w:before="40" w:after="40"/>
              <w:jc w:val="center"/>
              <w:rPr>
                <w:rFonts w:ascii="Arial" w:hAnsi="Arial" w:cs="Arial"/>
                <w:sz w:val="18"/>
                <w:szCs w:val="18"/>
              </w:rPr>
            </w:pPr>
          </w:p>
        </w:tc>
        <w:tc>
          <w:tcPr>
            <w:tcW w:w="660" w:type="dxa"/>
          </w:tcPr>
          <w:p w14:paraId="69981A7F"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80" w14:textId="77777777" w:rsidR="003D07CA" w:rsidRPr="00637580" w:rsidRDefault="003D07CA" w:rsidP="003E1F68">
            <w:pPr>
              <w:spacing w:before="40" w:after="40"/>
              <w:jc w:val="center"/>
              <w:rPr>
                <w:rFonts w:ascii="Arial" w:hAnsi="Arial" w:cs="Arial"/>
                <w:sz w:val="18"/>
                <w:szCs w:val="18"/>
              </w:rPr>
            </w:pPr>
          </w:p>
        </w:tc>
      </w:tr>
      <w:tr w:rsidR="003D07CA" w:rsidRPr="00637580" w14:paraId="69981A86" w14:textId="77777777" w:rsidTr="003E1F68">
        <w:tc>
          <w:tcPr>
            <w:tcW w:w="7020" w:type="dxa"/>
          </w:tcPr>
          <w:p w14:paraId="69981A82" w14:textId="77777777" w:rsidR="003D07CA" w:rsidRPr="00691CA2" w:rsidRDefault="003D07CA" w:rsidP="00525B7F">
            <w:pPr>
              <w:pStyle w:val="Checklist1"/>
              <w:numPr>
                <w:ilvl w:val="0"/>
                <w:numId w:val="90"/>
              </w:numPr>
              <w:spacing w:before="40" w:after="40"/>
              <w:ind w:left="522" w:hanging="522"/>
              <w:rPr>
                <w:rFonts w:ascii="Arial" w:hAnsi="Arial" w:cs="Arial"/>
                <w:sz w:val="18"/>
                <w:szCs w:val="18"/>
              </w:rPr>
            </w:pPr>
            <w:r w:rsidRPr="00691CA2">
              <w:rPr>
                <w:rFonts w:ascii="Arial" w:hAnsi="Arial" w:cs="Arial"/>
                <w:sz w:val="18"/>
                <w:szCs w:val="18"/>
              </w:rPr>
              <w:t>Does the financial institution consider notice given when it becomes aware of circumstances leading to the reasonable belief that an unauthorized transfer to or from the consumer’s account has been or may be made?</w:t>
            </w:r>
            <w:r w:rsidRPr="007C7C6F">
              <w:rPr>
                <w:rFonts w:ascii="Arial" w:hAnsi="Arial" w:cs="Arial"/>
                <w:sz w:val="18"/>
                <w:szCs w:val="18"/>
              </w:rPr>
              <w:t xml:space="preserve"> (12</w:t>
            </w:r>
            <w:r>
              <w:rPr>
                <w:rFonts w:ascii="Arial" w:hAnsi="Arial" w:cs="Arial"/>
                <w:sz w:val="18"/>
                <w:szCs w:val="18"/>
              </w:rPr>
              <w:t> </w:t>
            </w:r>
            <w:r w:rsidRPr="00691CA2">
              <w:rPr>
                <w:rFonts w:ascii="Arial" w:hAnsi="Arial" w:cs="Arial"/>
                <w:sz w:val="18"/>
                <w:szCs w:val="18"/>
              </w:rPr>
              <w:t>CFR</w:t>
            </w:r>
            <w:r>
              <w:rPr>
                <w:rFonts w:ascii="Arial" w:hAnsi="Arial" w:cs="Arial"/>
                <w:sz w:val="18"/>
                <w:szCs w:val="18"/>
              </w:rPr>
              <w:t> </w:t>
            </w:r>
            <w:r w:rsidRPr="00691CA2">
              <w:rPr>
                <w:rFonts w:ascii="Arial" w:hAnsi="Arial" w:cs="Arial"/>
                <w:sz w:val="18"/>
                <w:szCs w:val="18"/>
              </w:rPr>
              <w:t>1005.6(b)(5)(iii))</w:t>
            </w:r>
          </w:p>
        </w:tc>
        <w:tc>
          <w:tcPr>
            <w:tcW w:w="660" w:type="dxa"/>
            <w:gridSpan w:val="2"/>
          </w:tcPr>
          <w:p w14:paraId="69981A83" w14:textId="77777777" w:rsidR="003D07CA" w:rsidRPr="00637580" w:rsidRDefault="003D07CA" w:rsidP="003E1F68">
            <w:pPr>
              <w:spacing w:before="40" w:after="40"/>
              <w:jc w:val="center"/>
              <w:rPr>
                <w:rFonts w:ascii="Arial" w:hAnsi="Arial" w:cs="Arial"/>
                <w:sz w:val="18"/>
                <w:szCs w:val="18"/>
              </w:rPr>
            </w:pPr>
          </w:p>
        </w:tc>
        <w:tc>
          <w:tcPr>
            <w:tcW w:w="660" w:type="dxa"/>
          </w:tcPr>
          <w:p w14:paraId="69981A84"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85" w14:textId="77777777" w:rsidR="003D07CA" w:rsidRPr="00637580" w:rsidRDefault="003D07CA" w:rsidP="003E1F68">
            <w:pPr>
              <w:spacing w:before="40" w:after="40"/>
              <w:jc w:val="center"/>
              <w:rPr>
                <w:rFonts w:ascii="Arial" w:hAnsi="Arial" w:cs="Arial"/>
                <w:sz w:val="18"/>
                <w:szCs w:val="18"/>
              </w:rPr>
            </w:pPr>
          </w:p>
        </w:tc>
      </w:tr>
      <w:tr w:rsidR="003D07CA" w:rsidRPr="00637580" w14:paraId="69981A8B" w14:textId="77777777" w:rsidTr="003E1F68">
        <w:tc>
          <w:tcPr>
            <w:tcW w:w="7020" w:type="dxa"/>
            <w:tcBorders>
              <w:bottom w:val="single" w:sz="4" w:space="0" w:color="auto"/>
            </w:tcBorders>
          </w:tcPr>
          <w:p w14:paraId="69981A87" w14:textId="77777777" w:rsidR="003D07CA" w:rsidRPr="00691CA2" w:rsidRDefault="003D07CA" w:rsidP="00525B7F">
            <w:pPr>
              <w:pStyle w:val="Checklist1"/>
              <w:numPr>
                <w:ilvl w:val="0"/>
                <w:numId w:val="90"/>
              </w:numPr>
              <w:spacing w:before="40" w:after="40"/>
              <w:ind w:left="522" w:hanging="522"/>
              <w:rPr>
                <w:rFonts w:ascii="Arial" w:hAnsi="Arial" w:cs="Arial"/>
                <w:sz w:val="18"/>
                <w:szCs w:val="18"/>
              </w:rPr>
            </w:pPr>
            <w:r w:rsidRPr="00691CA2">
              <w:rPr>
                <w:rFonts w:ascii="Arial" w:hAnsi="Arial" w:cs="Arial"/>
                <w:sz w:val="18"/>
                <w:szCs w:val="18"/>
              </w:rPr>
              <w:lastRenderedPageBreak/>
              <w:t xml:space="preserve">Does the financial institution limit the consumer’s liability to a lesser amount than provided by 12 CFR 1005.6, when state law or an agreement between the consumer and the financial institution provide for such an amount? </w:t>
            </w:r>
            <w:r w:rsidRPr="007C7C6F">
              <w:rPr>
                <w:rFonts w:ascii="Arial" w:hAnsi="Arial" w:cs="Arial"/>
                <w:sz w:val="18"/>
                <w:szCs w:val="18"/>
              </w:rPr>
              <w:t>(12</w:t>
            </w:r>
            <w:r>
              <w:rPr>
                <w:rFonts w:ascii="Arial" w:hAnsi="Arial" w:cs="Arial"/>
                <w:sz w:val="18"/>
                <w:szCs w:val="18"/>
              </w:rPr>
              <w:t> </w:t>
            </w:r>
            <w:r w:rsidRPr="00691CA2">
              <w:rPr>
                <w:rFonts w:ascii="Arial" w:hAnsi="Arial" w:cs="Arial"/>
                <w:sz w:val="18"/>
                <w:szCs w:val="18"/>
              </w:rPr>
              <w:t>CFR 1005.6(b)(6))</w:t>
            </w:r>
          </w:p>
        </w:tc>
        <w:tc>
          <w:tcPr>
            <w:tcW w:w="660" w:type="dxa"/>
            <w:gridSpan w:val="2"/>
            <w:tcBorders>
              <w:bottom w:val="single" w:sz="4" w:space="0" w:color="auto"/>
            </w:tcBorders>
          </w:tcPr>
          <w:p w14:paraId="69981A88"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A89" w14:textId="77777777" w:rsidR="003D07CA" w:rsidRPr="00637580" w:rsidRDefault="003D07CA" w:rsidP="003E1F68">
            <w:pPr>
              <w:spacing w:before="40" w:after="40"/>
              <w:jc w:val="center"/>
              <w:rPr>
                <w:rFonts w:ascii="Arial" w:hAnsi="Arial" w:cs="Arial"/>
                <w:sz w:val="18"/>
                <w:szCs w:val="18"/>
              </w:rPr>
            </w:pPr>
          </w:p>
        </w:tc>
        <w:tc>
          <w:tcPr>
            <w:tcW w:w="660" w:type="dxa"/>
            <w:gridSpan w:val="2"/>
            <w:tcBorders>
              <w:bottom w:val="single" w:sz="4" w:space="0" w:color="auto"/>
            </w:tcBorders>
          </w:tcPr>
          <w:p w14:paraId="69981A8A" w14:textId="77777777" w:rsidR="003D07CA" w:rsidRPr="00637580" w:rsidRDefault="003D07CA" w:rsidP="003E1F68">
            <w:pPr>
              <w:spacing w:before="40" w:after="40"/>
              <w:jc w:val="center"/>
              <w:rPr>
                <w:rFonts w:ascii="Arial" w:hAnsi="Arial" w:cs="Arial"/>
                <w:sz w:val="18"/>
                <w:szCs w:val="18"/>
              </w:rPr>
            </w:pPr>
          </w:p>
        </w:tc>
      </w:tr>
      <w:tr w:rsidR="003D07CA" w:rsidRPr="00637580" w14:paraId="69981A90" w14:textId="77777777" w:rsidTr="003E1F68">
        <w:tc>
          <w:tcPr>
            <w:tcW w:w="7020" w:type="dxa"/>
            <w:shd w:val="clear" w:color="auto" w:fill="D9D9D9" w:themeFill="background1" w:themeFillShade="D9"/>
            <w:vAlign w:val="center"/>
          </w:tcPr>
          <w:p w14:paraId="69981A8C" w14:textId="77777777" w:rsidR="003D07CA" w:rsidRPr="007C7C6F" w:rsidRDefault="00155765" w:rsidP="003E1F68">
            <w:pPr>
              <w:spacing w:before="40" w:after="40"/>
              <w:rPr>
                <w:rFonts w:ascii="Arial" w:hAnsi="Arial" w:cs="Arial"/>
                <w:b/>
                <w:sz w:val="18"/>
                <w:szCs w:val="18"/>
              </w:rPr>
            </w:pPr>
            <w:r>
              <w:rPr>
                <w:rFonts w:ascii="Arial" w:hAnsi="Arial" w:cs="Arial"/>
                <w:b/>
                <w:sz w:val="18"/>
                <w:szCs w:val="18"/>
                <w:shd w:val="clear" w:color="auto" w:fill="D9D9D9" w:themeFill="background1" w:themeFillShade="D9"/>
              </w:rPr>
              <w:t>12 CFR</w:t>
            </w:r>
            <w:r w:rsidR="003D07CA" w:rsidRPr="007C7C6F">
              <w:rPr>
                <w:rFonts w:ascii="Arial" w:hAnsi="Arial" w:cs="Arial"/>
                <w:b/>
                <w:sz w:val="18"/>
                <w:szCs w:val="18"/>
              </w:rPr>
              <w:t xml:space="preserve"> 1005.7 – Initial Disclosures </w:t>
            </w:r>
          </w:p>
        </w:tc>
        <w:tc>
          <w:tcPr>
            <w:tcW w:w="660" w:type="dxa"/>
            <w:gridSpan w:val="2"/>
            <w:shd w:val="clear" w:color="auto" w:fill="D9D9D9" w:themeFill="background1" w:themeFillShade="D9"/>
          </w:tcPr>
          <w:p w14:paraId="69981A8D"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A8E" w14:textId="77777777" w:rsidR="003D07CA" w:rsidRPr="00637580" w:rsidRDefault="003D07CA" w:rsidP="003E1F68">
            <w:pPr>
              <w:spacing w:before="40" w:after="40"/>
              <w:jc w:val="center"/>
              <w:rPr>
                <w:rFonts w:ascii="Arial" w:hAnsi="Arial" w:cs="Arial"/>
                <w:b/>
                <w:sz w:val="18"/>
                <w:szCs w:val="18"/>
              </w:rPr>
            </w:pPr>
          </w:p>
        </w:tc>
        <w:tc>
          <w:tcPr>
            <w:tcW w:w="660" w:type="dxa"/>
            <w:gridSpan w:val="2"/>
            <w:shd w:val="clear" w:color="auto" w:fill="D9D9D9" w:themeFill="background1" w:themeFillShade="D9"/>
          </w:tcPr>
          <w:p w14:paraId="69981A8F"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A95" w14:textId="77777777" w:rsidTr="003E1F68">
        <w:tc>
          <w:tcPr>
            <w:tcW w:w="7020" w:type="dxa"/>
          </w:tcPr>
          <w:p w14:paraId="69981A91"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Does the financial institution provide the initial disclosures at the time a consumer contracts for an EFT service or before the first EFT is made involving the consumer’s account? (12 CFR 1005.7(a))</w:t>
            </w:r>
          </w:p>
        </w:tc>
        <w:tc>
          <w:tcPr>
            <w:tcW w:w="660" w:type="dxa"/>
            <w:gridSpan w:val="2"/>
            <w:tcBorders>
              <w:bottom w:val="single" w:sz="4" w:space="0" w:color="auto"/>
            </w:tcBorders>
          </w:tcPr>
          <w:p w14:paraId="69981A92"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A93" w14:textId="77777777" w:rsidR="003D07CA" w:rsidRPr="00637580" w:rsidRDefault="003D07CA" w:rsidP="003E1F68">
            <w:pPr>
              <w:spacing w:before="40" w:after="40"/>
              <w:jc w:val="center"/>
              <w:rPr>
                <w:rFonts w:ascii="Arial" w:hAnsi="Arial" w:cs="Arial"/>
                <w:sz w:val="18"/>
                <w:szCs w:val="18"/>
              </w:rPr>
            </w:pPr>
          </w:p>
        </w:tc>
        <w:tc>
          <w:tcPr>
            <w:tcW w:w="660" w:type="dxa"/>
            <w:gridSpan w:val="2"/>
            <w:tcBorders>
              <w:bottom w:val="single" w:sz="4" w:space="0" w:color="auto"/>
            </w:tcBorders>
          </w:tcPr>
          <w:p w14:paraId="69981A94" w14:textId="77777777" w:rsidR="003D07CA" w:rsidRPr="00637580" w:rsidRDefault="003D07CA" w:rsidP="003E1F68">
            <w:pPr>
              <w:spacing w:before="40" w:after="40"/>
              <w:jc w:val="center"/>
              <w:rPr>
                <w:rFonts w:ascii="Arial" w:hAnsi="Arial" w:cs="Arial"/>
                <w:sz w:val="18"/>
                <w:szCs w:val="18"/>
              </w:rPr>
            </w:pPr>
          </w:p>
        </w:tc>
      </w:tr>
      <w:tr w:rsidR="003D07CA" w:rsidRPr="00637580" w14:paraId="69981A9A" w14:textId="77777777" w:rsidTr="003E1F68">
        <w:tc>
          <w:tcPr>
            <w:tcW w:w="7020" w:type="dxa"/>
          </w:tcPr>
          <w:p w14:paraId="69981A96"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 xml:space="preserve">Do the financial institution’s initial disclosures provide </w:t>
            </w:r>
            <w:r w:rsidR="003A32E6">
              <w:rPr>
                <w:rFonts w:ascii="Arial" w:hAnsi="Arial" w:cs="Arial"/>
                <w:sz w:val="18"/>
                <w:szCs w:val="18"/>
              </w:rPr>
              <w:t xml:space="preserve">all of </w:t>
            </w:r>
            <w:r w:rsidRPr="00637580">
              <w:rPr>
                <w:rFonts w:ascii="Arial" w:hAnsi="Arial" w:cs="Arial"/>
                <w:sz w:val="18"/>
                <w:szCs w:val="18"/>
              </w:rPr>
              <w:t>the following information, as applicable:</w:t>
            </w:r>
          </w:p>
        </w:tc>
        <w:tc>
          <w:tcPr>
            <w:tcW w:w="660" w:type="dxa"/>
            <w:gridSpan w:val="2"/>
            <w:shd w:val="clear" w:color="auto" w:fill="D9D9D9" w:themeFill="background1" w:themeFillShade="D9"/>
          </w:tcPr>
          <w:p w14:paraId="69981A97"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A98" w14:textId="77777777" w:rsidR="003D07CA" w:rsidRPr="00637580" w:rsidRDefault="003D07CA" w:rsidP="003E1F68">
            <w:pPr>
              <w:spacing w:before="40" w:after="40"/>
              <w:jc w:val="center"/>
              <w:rPr>
                <w:rFonts w:ascii="Arial" w:hAnsi="Arial" w:cs="Arial"/>
                <w:b/>
                <w:sz w:val="18"/>
                <w:szCs w:val="18"/>
              </w:rPr>
            </w:pPr>
          </w:p>
        </w:tc>
        <w:tc>
          <w:tcPr>
            <w:tcW w:w="660" w:type="dxa"/>
            <w:gridSpan w:val="2"/>
            <w:shd w:val="clear" w:color="auto" w:fill="D9D9D9" w:themeFill="background1" w:themeFillShade="D9"/>
          </w:tcPr>
          <w:p w14:paraId="69981A99"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A9F" w14:textId="77777777" w:rsidTr="003E1F68">
        <w:tc>
          <w:tcPr>
            <w:tcW w:w="7020" w:type="dxa"/>
          </w:tcPr>
          <w:p w14:paraId="69981A9B" w14:textId="77777777" w:rsidR="003D07CA" w:rsidRPr="00637580" w:rsidRDefault="003D07CA" w:rsidP="00525B7F">
            <w:pPr>
              <w:pStyle w:val="Checklist1a"/>
              <w:numPr>
                <w:ilvl w:val="0"/>
                <w:numId w:val="121"/>
              </w:numPr>
              <w:spacing w:before="40" w:after="40"/>
              <w:jc w:val="left"/>
              <w:rPr>
                <w:rFonts w:ascii="Arial" w:hAnsi="Arial" w:cs="Arial"/>
                <w:sz w:val="18"/>
                <w:szCs w:val="18"/>
              </w:rPr>
            </w:pPr>
            <w:r w:rsidRPr="00637580">
              <w:rPr>
                <w:rFonts w:ascii="Arial" w:hAnsi="Arial" w:cs="Arial"/>
                <w:sz w:val="18"/>
                <w:szCs w:val="18"/>
              </w:rPr>
              <w:t>A summary of the consumer’s liability for unauthorized transfers under 12</w:t>
            </w:r>
            <w:r>
              <w:rPr>
                <w:rFonts w:ascii="Arial" w:hAnsi="Arial" w:cs="Arial"/>
                <w:sz w:val="18"/>
                <w:szCs w:val="18"/>
              </w:rPr>
              <w:t> </w:t>
            </w:r>
            <w:r w:rsidRPr="00637580">
              <w:rPr>
                <w:rFonts w:ascii="Arial" w:hAnsi="Arial" w:cs="Arial"/>
                <w:sz w:val="18"/>
                <w:szCs w:val="18"/>
              </w:rPr>
              <w:t>CFR 1005.6 or under state or other applicable law or agreement? (12</w:t>
            </w:r>
            <w:r>
              <w:rPr>
                <w:rFonts w:ascii="Arial" w:hAnsi="Arial" w:cs="Arial"/>
                <w:sz w:val="18"/>
                <w:szCs w:val="18"/>
              </w:rPr>
              <w:t> </w:t>
            </w:r>
            <w:r w:rsidRPr="00637580">
              <w:rPr>
                <w:rFonts w:ascii="Arial" w:hAnsi="Arial" w:cs="Arial"/>
                <w:sz w:val="18"/>
                <w:szCs w:val="18"/>
              </w:rPr>
              <w:t>CFR 1005.7(b)(1))</w:t>
            </w:r>
          </w:p>
        </w:tc>
        <w:tc>
          <w:tcPr>
            <w:tcW w:w="660" w:type="dxa"/>
            <w:gridSpan w:val="2"/>
          </w:tcPr>
          <w:p w14:paraId="69981A9C" w14:textId="77777777" w:rsidR="003D07CA" w:rsidRPr="00637580" w:rsidRDefault="003D07CA" w:rsidP="003E1F68">
            <w:pPr>
              <w:spacing w:before="40" w:after="40"/>
              <w:jc w:val="center"/>
              <w:rPr>
                <w:rFonts w:ascii="Arial" w:hAnsi="Arial" w:cs="Arial"/>
                <w:sz w:val="18"/>
                <w:szCs w:val="18"/>
              </w:rPr>
            </w:pPr>
          </w:p>
        </w:tc>
        <w:tc>
          <w:tcPr>
            <w:tcW w:w="660" w:type="dxa"/>
          </w:tcPr>
          <w:p w14:paraId="69981A9D"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9E" w14:textId="77777777" w:rsidR="003D07CA" w:rsidRPr="00637580" w:rsidRDefault="003D07CA" w:rsidP="003E1F68">
            <w:pPr>
              <w:spacing w:before="40" w:after="40"/>
              <w:jc w:val="center"/>
              <w:rPr>
                <w:rFonts w:ascii="Arial" w:hAnsi="Arial" w:cs="Arial"/>
                <w:sz w:val="18"/>
                <w:szCs w:val="18"/>
              </w:rPr>
            </w:pPr>
          </w:p>
        </w:tc>
      </w:tr>
      <w:tr w:rsidR="003D07CA" w:rsidRPr="00637580" w14:paraId="69981AA4" w14:textId="77777777" w:rsidTr="003E1F68">
        <w:tc>
          <w:tcPr>
            <w:tcW w:w="7020" w:type="dxa"/>
          </w:tcPr>
          <w:p w14:paraId="69981AA0" w14:textId="77777777" w:rsidR="003D07CA" w:rsidRPr="00637580" w:rsidRDefault="003D07CA" w:rsidP="00525B7F">
            <w:pPr>
              <w:pStyle w:val="Checklist1a"/>
              <w:numPr>
                <w:ilvl w:val="0"/>
                <w:numId w:val="121"/>
              </w:numPr>
              <w:spacing w:before="40" w:after="40"/>
              <w:jc w:val="left"/>
              <w:rPr>
                <w:rFonts w:ascii="Arial" w:hAnsi="Arial" w:cs="Arial"/>
                <w:sz w:val="18"/>
                <w:szCs w:val="18"/>
              </w:rPr>
            </w:pPr>
            <w:r w:rsidRPr="00637580">
              <w:rPr>
                <w:rFonts w:ascii="Arial" w:hAnsi="Arial" w:cs="Arial"/>
                <w:sz w:val="18"/>
                <w:szCs w:val="18"/>
              </w:rPr>
              <w:t>The telephone number and address of the person or office to be notified when the consumer believes that an unauthorized EFT has been or may be made? (12 CFR 1005.7(b)(2))</w:t>
            </w:r>
          </w:p>
        </w:tc>
        <w:tc>
          <w:tcPr>
            <w:tcW w:w="660" w:type="dxa"/>
            <w:gridSpan w:val="2"/>
          </w:tcPr>
          <w:p w14:paraId="69981AA1" w14:textId="77777777" w:rsidR="003D07CA" w:rsidRPr="00637580" w:rsidRDefault="003D07CA" w:rsidP="003E1F68">
            <w:pPr>
              <w:spacing w:before="40" w:after="40"/>
              <w:jc w:val="center"/>
              <w:rPr>
                <w:rFonts w:ascii="Arial" w:hAnsi="Arial" w:cs="Arial"/>
                <w:sz w:val="18"/>
                <w:szCs w:val="18"/>
              </w:rPr>
            </w:pPr>
          </w:p>
        </w:tc>
        <w:tc>
          <w:tcPr>
            <w:tcW w:w="660" w:type="dxa"/>
          </w:tcPr>
          <w:p w14:paraId="69981AA2"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A3" w14:textId="77777777" w:rsidR="003D07CA" w:rsidRPr="00637580" w:rsidRDefault="003D07CA" w:rsidP="003E1F68">
            <w:pPr>
              <w:spacing w:before="40" w:after="40"/>
              <w:jc w:val="center"/>
              <w:rPr>
                <w:rFonts w:ascii="Arial" w:hAnsi="Arial" w:cs="Arial"/>
                <w:sz w:val="18"/>
                <w:szCs w:val="18"/>
              </w:rPr>
            </w:pPr>
          </w:p>
        </w:tc>
      </w:tr>
      <w:tr w:rsidR="003D07CA" w:rsidRPr="00637580" w14:paraId="69981AA9" w14:textId="77777777" w:rsidTr="003E1F68">
        <w:tc>
          <w:tcPr>
            <w:tcW w:w="7020" w:type="dxa"/>
          </w:tcPr>
          <w:p w14:paraId="69981AA5" w14:textId="77777777" w:rsidR="003D07CA" w:rsidRPr="00637580" w:rsidRDefault="003D07CA" w:rsidP="00525B7F">
            <w:pPr>
              <w:pStyle w:val="Checklist1a"/>
              <w:numPr>
                <w:ilvl w:val="0"/>
                <w:numId w:val="121"/>
              </w:numPr>
              <w:spacing w:before="40" w:after="40"/>
              <w:jc w:val="left"/>
              <w:rPr>
                <w:rFonts w:ascii="Arial" w:hAnsi="Arial" w:cs="Arial"/>
                <w:sz w:val="18"/>
                <w:szCs w:val="18"/>
              </w:rPr>
            </w:pPr>
            <w:r w:rsidRPr="00637580">
              <w:rPr>
                <w:rFonts w:ascii="Arial" w:hAnsi="Arial" w:cs="Arial"/>
                <w:sz w:val="18"/>
                <w:szCs w:val="18"/>
              </w:rPr>
              <w:t>The financial institution’s business days? (12 CFR 1005.7(b)(3))</w:t>
            </w:r>
          </w:p>
        </w:tc>
        <w:tc>
          <w:tcPr>
            <w:tcW w:w="660" w:type="dxa"/>
            <w:gridSpan w:val="2"/>
          </w:tcPr>
          <w:p w14:paraId="69981AA6" w14:textId="77777777" w:rsidR="003D07CA" w:rsidRPr="00637580" w:rsidRDefault="003D07CA" w:rsidP="003E1F68">
            <w:pPr>
              <w:spacing w:before="40" w:after="40"/>
              <w:jc w:val="center"/>
              <w:rPr>
                <w:rFonts w:ascii="Arial" w:hAnsi="Arial" w:cs="Arial"/>
                <w:sz w:val="18"/>
                <w:szCs w:val="18"/>
              </w:rPr>
            </w:pPr>
          </w:p>
        </w:tc>
        <w:tc>
          <w:tcPr>
            <w:tcW w:w="660" w:type="dxa"/>
          </w:tcPr>
          <w:p w14:paraId="69981AA7"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A8" w14:textId="77777777" w:rsidR="003D07CA" w:rsidRPr="00637580" w:rsidRDefault="003D07CA" w:rsidP="003E1F68">
            <w:pPr>
              <w:spacing w:before="40" w:after="40"/>
              <w:jc w:val="center"/>
              <w:rPr>
                <w:rFonts w:ascii="Arial" w:hAnsi="Arial" w:cs="Arial"/>
                <w:sz w:val="18"/>
                <w:szCs w:val="18"/>
              </w:rPr>
            </w:pPr>
          </w:p>
        </w:tc>
      </w:tr>
      <w:tr w:rsidR="003D07CA" w:rsidRPr="00637580" w14:paraId="69981AAE" w14:textId="77777777" w:rsidTr="003E1F68">
        <w:tc>
          <w:tcPr>
            <w:tcW w:w="7020" w:type="dxa"/>
          </w:tcPr>
          <w:p w14:paraId="69981AAA" w14:textId="77777777" w:rsidR="003D07CA" w:rsidRPr="00637580" w:rsidRDefault="003D07CA" w:rsidP="00525B7F">
            <w:pPr>
              <w:pStyle w:val="Checklist1a"/>
              <w:numPr>
                <w:ilvl w:val="0"/>
                <w:numId w:val="121"/>
              </w:numPr>
              <w:spacing w:before="40" w:after="40"/>
              <w:jc w:val="left"/>
              <w:rPr>
                <w:rFonts w:ascii="Arial" w:hAnsi="Arial" w:cs="Arial"/>
                <w:sz w:val="18"/>
                <w:szCs w:val="18"/>
              </w:rPr>
            </w:pPr>
            <w:r w:rsidRPr="00637580">
              <w:rPr>
                <w:rFonts w:ascii="Arial" w:hAnsi="Arial" w:cs="Arial"/>
                <w:sz w:val="18"/>
                <w:szCs w:val="18"/>
              </w:rPr>
              <w:t>The type of EFTs the consumer may make and any limits on the frequency and dollar amount of transfers? (If details on the limits on frequency and dollar amount are essential to maintain the security of the system, they need not be disclosed.) (12 CFR 1005.7(b)(4))</w:t>
            </w:r>
          </w:p>
        </w:tc>
        <w:tc>
          <w:tcPr>
            <w:tcW w:w="660" w:type="dxa"/>
            <w:gridSpan w:val="2"/>
          </w:tcPr>
          <w:p w14:paraId="69981AAB" w14:textId="77777777" w:rsidR="003D07CA" w:rsidRPr="00637580" w:rsidRDefault="003D07CA" w:rsidP="003E1F68">
            <w:pPr>
              <w:spacing w:before="40" w:after="40"/>
              <w:jc w:val="center"/>
              <w:rPr>
                <w:rFonts w:ascii="Arial" w:hAnsi="Arial" w:cs="Arial"/>
                <w:sz w:val="18"/>
                <w:szCs w:val="18"/>
              </w:rPr>
            </w:pPr>
          </w:p>
        </w:tc>
        <w:tc>
          <w:tcPr>
            <w:tcW w:w="660" w:type="dxa"/>
          </w:tcPr>
          <w:p w14:paraId="69981AAC"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AD" w14:textId="77777777" w:rsidR="003D07CA" w:rsidRPr="00637580" w:rsidRDefault="003D07CA" w:rsidP="003E1F68">
            <w:pPr>
              <w:spacing w:before="40" w:after="40"/>
              <w:jc w:val="center"/>
              <w:rPr>
                <w:rFonts w:ascii="Arial" w:hAnsi="Arial" w:cs="Arial"/>
                <w:sz w:val="18"/>
                <w:szCs w:val="18"/>
              </w:rPr>
            </w:pPr>
          </w:p>
        </w:tc>
      </w:tr>
      <w:tr w:rsidR="003D07CA" w:rsidRPr="00637580" w14:paraId="69981AB3" w14:textId="77777777" w:rsidTr="003E1F68">
        <w:tc>
          <w:tcPr>
            <w:tcW w:w="7020" w:type="dxa"/>
          </w:tcPr>
          <w:p w14:paraId="69981AAF" w14:textId="77777777" w:rsidR="003D07CA" w:rsidRPr="00637580" w:rsidRDefault="003D07CA" w:rsidP="00525B7F">
            <w:pPr>
              <w:pStyle w:val="Checklist1a"/>
              <w:numPr>
                <w:ilvl w:val="0"/>
                <w:numId w:val="121"/>
              </w:numPr>
              <w:spacing w:before="40" w:after="40"/>
              <w:jc w:val="left"/>
              <w:rPr>
                <w:rFonts w:ascii="Arial" w:hAnsi="Arial" w:cs="Arial"/>
                <w:sz w:val="18"/>
                <w:szCs w:val="18"/>
              </w:rPr>
            </w:pPr>
            <w:r w:rsidRPr="00637580">
              <w:rPr>
                <w:rFonts w:ascii="Arial" w:hAnsi="Arial" w:cs="Arial"/>
                <w:sz w:val="18"/>
                <w:szCs w:val="18"/>
              </w:rPr>
              <w:t>Any fees imposed by the financial institution for EFTs or for the right to make transfers? (12 CFR 1005.7(b)(5))</w:t>
            </w:r>
          </w:p>
        </w:tc>
        <w:tc>
          <w:tcPr>
            <w:tcW w:w="660" w:type="dxa"/>
            <w:gridSpan w:val="2"/>
          </w:tcPr>
          <w:p w14:paraId="69981AB0" w14:textId="77777777" w:rsidR="003D07CA" w:rsidRPr="00637580" w:rsidRDefault="003D07CA" w:rsidP="003E1F68">
            <w:pPr>
              <w:spacing w:before="40" w:after="40"/>
              <w:jc w:val="center"/>
              <w:rPr>
                <w:rFonts w:ascii="Arial" w:hAnsi="Arial" w:cs="Arial"/>
                <w:sz w:val="18"/>
                <w:szCs w:val="18"/>
              </w:rPr>
            </w:pPr>
          </w:p>
        </w:tc>
        <w:tc>
          <w:tcPr>
            <w:tcW w:w="660" w:type="dxa"/>
          </w:tcPr>
          <w:p w14:paraId="69981AB1"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B2" w14:textId="77777777" w:rsidR="003D07CA" w:rsidRPr="00637580" w:rsidRDefault="003D07CA" w:rsidP="003E1F68">
            <w:pPr>
              <w:spacing w:before="40" w:after="40"/>
              <w:jc w:val="center"/>
              <w:rPr>
                <w:rFonts w:ascii="Arial" w:hAnsi="Arial" w:cs="Arial"/>
                <w:sz w:val="18"/>
                <w:szCs w:val="18"/>
              </w:rPr>
            </w:pPr>
          </w:p>
        </w:tc>
      </w:tr>
      <w:tr w:rsidR="003D07CA" w:rsidRPr="00637580" w14:paraId="69981AB8" w14:textId="77777777" w:rsidTr="003E1F68">
        <w:tc>
          <w:tcPr>
            <w:tcW w:w="7020" w:type="dxa"/>
          </w:tcPr>
          <w:p w14:paraId="69981AB4" w14:textId="77777777" w:rsidR="003D07CA" w:rsidRPr="00637580" w:rsidRDefault="003D07CA" w:rsidP="00525B7F">
            <w:pPr>
              <w:pStyle w:val="Checklist1a"/>
              <w:numPr>
                <w:ilvl w:val="0"/>
                <w:numId w:val="121"/>
              </w:numPr>
              <w:spacing w:before="40" w:after="40"/>
              <w:jc w:val="left"/>
              <w:rPr>
                <w:rFonts w:ascii="Arial" w:hAnsi="Arial" w:cs="Arial"/>
                <w:sz w:val="18"/>
                <w:szCs w:val="18"/>
              </w:rPr>
            </w:pPr>
            <w:r w:rsidRPr="00637580">
              <w:rPr>
                <w:rFonts w:ascii="Arial" w:hAnsi="Arial" w:cs="Arial"/>
                <w:sz w:val="18"/>
                <w:szCs w:val="18"/>
              </w:rPr>
              <w:t>A summary of the consumer’s right to receive receipts and periodic statements, as provided in 12 CFR 1005.9, and notices regarding preauthorized transfers as provided in 12 CFR 1005.10(a) and 1005.10(d)? (12 CFR 1005.7(b)(6))</w:t>
            </w:r>
          </w:p>
        </w:tc>
        <w:tc>
          <w:tcPr>
            <w:tcW w:w="660" w:type="dxa"/>
            <w:gridSpan w:val="2"/>
          </w:tcPr>
          <w:p w14:paraId="69981AB5" w14:textId="77777777" w:rsidR="003D07CA" w:rsidRPr="00637580" w:rsidRDefault="003D07CA" w:rsidP="003E1F68">
            <w:pPr>
              <w:spacing w:before="40" w:after="40"/>
              <w:jc w:val="center"/>
              <w:rPr>
                <w:rFonts w:ascii="Arial" w:hAnsi="Arial" w:cs="Arial"/>
                <w:sz w:val="18"/>
                <w:szCs w:val="18"/>
              </w:rPr>
            </w:pPr>
          </w:p>
        </w:tc>
        <w:tc>
          <w:tcPr>
            <w:tcW w:w="660" w:type="dxa"/>
          </w:tcPr>
          <w:p w14:paraId="69981AB6"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B7" w14:textId="77777777" w:rsidR="003D07CA" w:rsidRPr="00637580" w:rsidRDefault="003D07CA" w:rsidP="003E1F68">
            <w:pPr>
              <w:spacing w:before="40" w:after="40"/>
              <w:jc w:val="center"/>
              <w:rPr>
                <w:rFonts w:ascii="Arial" w:hAnsi="Arial" w:cs="Arial"/>
                <w:sz w:val="18"/>
                <w:szCs w:val="18"/>
              </w:rPr>
            </w:pPr>
          </w:p>
        </w:tc>
      </w:tr>
      <w:tr w:rsidR="003D07CA" w:rsidRPr="00637580" w14:paraId="69981ABD" w14:textId="77777777" w:rsidTr="003E1F68">
        <w:tc>
          <w:tcPr>
            <w:tcW w:w="7020" w:type="dxa"/>
          </w:tcPr>
          <w:p w14:paraId="69981AB9" w14:textId="77777777" w:rsidR="003D07CA" w:rsidRPr="00637580" w:rsidRDefault="003D07CA" w:rsidP="00525B7F">
            <w:pPr>
              <w:pStyle w:val="Checklist1a"/>
              <w:numPr>
                <w:ilvl w:val="0"/>
                <w:numId w:val="121"/>
              </w:numPr>
              <w:spacing w:before="40" w:after="40"/>
              <w:jc w:val="left"/>
              <w:rPr>
                <w:rFonts w:ascii="Arial" w:hAnsi="Arial" w:cs="Arial"/>
                <w:sz w:val="18"/>
                <w:szCs w:val="18"/>
              </w:rPr>
            </w:pPr>
            <w:r w:rsidRPr="00637580">
              <w:rPr>
                <w:rFonts w:ascii="Arial" w:hAnsi="Arial" w:cs="Arial"/>
                <w:sz w:val="18"/>
                <w:szCs w:val="18"/>
              </w:rPr>
              <w:t>A summary of the consumer’s right to stop payment of a preauthorized EFT and t</w:t>
            </w:r>
            <w:r w:rsidR="00F02D8F">
              <w:rPr>
                <w:rFonts w:ascii="Arial" w:hAnsi="Arial" w:cs="Arial"/>
                <w:sz w:val="18"/>
                <w:szCs w:val="18"/>
              </w:rPr>
              <w:t xml:space="preserve">he procedure for placing a stop </w:t>
            </w:r>
            <w:r w:rsidRPr="00637580">
              <w:rPr>
                <w:rFonts w:ascii="Arial" w:hAnsi="Arial" w:cs="Arial"/>
                <w:sz w:val="18"/>
                <w:szCs w:val="18"/>
              </w:rPr>
              <w:t>payment order, as provided in 12 CFR 1005.10(c)? (12 CFR 1005.7(b)(7))</w:t>
            </w:r>
          </w:p>
        </w:tc>
        <w:tc>
          <w:tcPr>
            <w:tcW w:w="660" w:type="dxa"/>
            <w:gridSpan w:val="2"/>
          </w:tcPr>
          <w:p w14:paraId="69981ABA" w14:textId="77777777" w:rsidR="003D07CA" w:rsidRPr="00637580" w:rsidRDefault="003D07CA" w:rsidP="003E1F68">
            <w:pPr>
              <w:spacing w:before="40" w:after="40"/>
              <w:jc w:val="center"/>
              <w:rPr>
                <w:rFonts w:ascii="Arial" w:hAnsi="Arial" w:cs="Arial"/>
                <w:sz w:val="18"/>
                <w:szCs w:val="18"/>
              </w:rPr>
            </w:pPr>
          </w:p>
        </w:tc>
        <w:tc>
          <w:tcPr>
            <w:tcW w:w="660" w:type="dxa"/>
          </w:tcPr>
          <w:p w14:paraId="69981ABB"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BC" w14:textId="77777777" w:rsidR="003D07CA" w:rsidRPr="00637580" w:rsidRDefault="003D07CA" w:rsidP="003E1F68">
            <w:pPr>
              <w:spacing w:before="40" w:after="40"/>
              <w:jc w:val="center"/>
              <w:rPr>
                <w:rFonts w:ascii="Arial" w:hAnsi="Arial" w:cs="Arial"/>
                <w:sz w:val="18"/>
                <w:szCs w:val="18"/>
              </w:rPr>
            </w:pPr>
          </w:p>
        </w:tc>
      </w:tr>
      <w:tr w:rsidR="003D07CA" w:rsidRPr="00637580" w14:paraId="69981AC2" w14:textId="77777777" w:rsidTr="003E1F68">
        <w:tc>
          <w:tcPr>
            <w:tcW w:w="7020" w:type="dxa"/>
          </w:tcPr>
          <w:p w14:paraId="69981ABE" w14:textId="77777777" w:rsidR="003D07CA" w:rsidRPr="007C7C6F" w:rsidRDefault="003D07CA" w:rsidP="00525B7F">
            <w:pPr>
              <w:pStyle w:val="Checklist1a"/>
              <w:numPr>
                <w:ilvl w:val="0"/>
                <w:numId w:val="121"/>
              </w:numPr>
              <w:spacing w:before="40" w:after="40"/>
              <w:jc w:val="left"/>
              <w:rPr>
                <w:rFonts w:ascii="Arial" w:hAnsi="Arial" w:cs="Arial"/>
                <w:sz w:val="18"/>
                <w:szCs w:val="18"/>
              </w:rPr>
            </w:pPr>
            <w:r w:rsidRPr="00637580">
              <w:rPr>
                <w:rFonts w:ascii="Arial" w:hAnsi="Arial" w:cs="Arial"/>
                <w:sz w:val="18"/>
                <w:szCs w:val="18"/>
              </w:rPr>
              <w:t>A summary of the financial institution’s liability to the consumer for its failure to make or to stop certain transfers under the EFTA?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1005.7(b)(8))</w:t>
            </w:r>
          </w:p>
        </w:tc>
        <w:tc>
          <w:tcPr>
            <w:tcW w:w="660" w:type="dxa"/>
            <w:gridSpan w:val="2"/>
          </w:tcPr>
          <w:p w14:paraId="69981ABF" w14:textId="77777777" w:rsidR="003D07CA" w:rsidRPr="007C7C6F" w:rsidRDefault="003D07CA" w:rsidP="003E1F68">
            <w:pPr>
              <w:spacing w:before="40" w:after="40"/>
              <w:jc w:val="center"/>
              <w:rPr>
                <w:rFonts w:ascii="Arial" w:hAnsi="Arial" w:cs="Arial"/>
                <w:sz w:val="18"/>
                <w:szCs w:val="18"/>
              </w:rPr>
            </w:pPr>
          </w:p>
        </w:tc>
        <w:tc>
          <w:tcPr>
            <w:tcW w:w="660" w:type="dxa"/>
          </w:tcPr>
          <w:p w14:paraId="69981AC0" w14:textId="77777777" w:rsidR="003D07CA" w:rsidRPr="007C7C6F" w:rsidRDefault="003D07CA" w:rsidP="003E1F68">
            <w:pPr>
              <w:spacing w:before="40" w:after="40"/>
              <w:jc w:val="center"/>
              <w:rPr>
                <w:rFonts w:ascii="Arial" w:hAnsi="Arial" w:cs="Arial"/>
                <w:sz w:val="18"/>
                <w:szCs w:val="18"/>
              </w:rPr>
            </w:pPr>
          </w:p>
        </w:tc>
        <w:tc>
          <w:tcPr>
            <w:tcW w:w="660" w:type="dxa"/>
            <w:gridSpan w:val="2"/>
          </w:tcPr>
          <w:p w14:paraId="69981AC1" w14:textId="77777777" w:rsidR="003D07CA" w:rsidRPr="00637580" w:rsidRDefault="003D07CA" w:rsidP="003E1F68">
            <w:pPr>
              <w:spacing w:before="40" w:after="40"/>
              <w:jc w:val="center"/>
              <w:rPr>
                <w:rFonts w:ascii="Arial" w:hAnsi="Arial" w:cs="Arial"/>
                <w:sz w:val="18"/>
                <w:szCs w:val="18"/>
              </w:rPr>
            </w:pPr>
          </w:p>
        </w:tc>
      </w:tr>
      <w:tr w:rsidR="003D07CA" w:rsidRPr="00637580" w14:paraId="69981AC7" w14:textId="77777777" w:rsidTr="003E1F68">
        <w:tc>
          <w:tcPr>
            <w:tcW w:w="7020" w:type="dxa"/>
          </w:tcPr>
          <w:p w14:paraId="69981AC3" w14:textId="77777777" w:rsidR="003D07CA" w:rsidRPr="00637580" w:rsidRDefault="003D07CA" w:rsidP="00525B7F">
            <w:pPr>
              <w:pStyle w:val="Checklist1a"/>
              <w:numPr>
                <w:ilvl w:val="0"/>
                <w:numId w:val="121"/>
              </w:numPr>
              <w:spacing w:before="40" w:after="40"/>
              <w:jc w:val="left"/>
              <w:rPr>
                <w:rFonts w:ascii="Arial" w:hAnsi="Arial" w:cs="Arial"/>
                <w:sz w:val="18"/>
                <w:szCs w:val="18"/>
              </w:rPr>
            </w:pPr>
            <w:r w:rsidRPr="00637580">
              <w:rPr>
                <w:rFonts w:ascii="Arial" w:hAnsi="Arial" w:cs="Arial"/>
                <w:sz w:val="18"/>
                <w:szCs w:val="18"/>
              </w:rPr>
              <w:t>The circumstances under which the financial institution, in the ordinary course of business, may disclose information to third parties concerning the consumer’s account? (12 CFR 1005.7(b)(9))</w:t>
            </w:r>
          </w:p>
        </w:tc>
        <w:tc>
          <w:tcPr>
            <w:tcW w:w="660" w:type="dxa"/>
            <w:gridSpan w:val="2"/>
          </w:tcPr>
          <w:p w14:paraId="69981AC4" w14:textId="77777777" w:rsidR="003D07CA" w:rsidRPr="00637580" w:rsidRDefault="003D07CA" w:rsidP="003E1F68">
            <w:pPr>
              <w:spacing w:before="40" w:after="40"/>
              <w:jc w:val="center"/>
              <w:rPr>
                <w:rFonts w:ascii="Arial" w:hAnsi="Arial" w:cs="Arial"/>
                <w:sz w:val="18"/>
                <w:szCs w:val="18"/>
              </w:rPr>
            </w:pPr>
          </w:p>
        </w:tc>
        <w:tc>
          <w:tcPr>
            <w:tcW w:w="660" w:type="dxa"/>
          </w:tcPr>
          <w:p w14:paraId="69981AC5"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C6" w14:textId="77777777" w:rsidR="003D07CA" w:rsidRPr="00637580" w:rsidRDefault="003D07CA" w:rsidP="003E1F68">
            <w:pPr>
              <w:spacing w:before="40" w:after="40"/>
              <w:jc w:val="center"/>
              <w:rPr>
                <w:rFonts w:ascii="Arial" w:hAnsi="Arial" w:cs="Arial"/>
                <w:sz w:val="18"/>
                <w:szCs w:val="18"/>
              </w:rPr>
            </w:pPr>
          </w:p>
        </w:tc>
      </w:tr>
      <w:tr w:rsidR="003D07CA" w:rsidRPr="00637580" w14:paraId="69981ACC" w14:textId="77777777" w:rsidTr="003E1F68">
        <w:tc>
          <w:tcPr>
            <w:tcW w:w="7020" w:type="dxa"/>
          </w:tcPr>
          <w:p w14:paraId="69981AC8" w14:textId="77777777" w:rsidR="003D07CA" w:rsidRPr="00637580" w:rsidRDefault="003D07CA" w:rsidP="00525B7F">
            <w:pPr>
              <w:pStyle w:val="Checklist1a"/>
              <w:numPr>
                <w:ilvl w:val="0"/>
                <w:numId w:val="121"/>
              </w:numPr>
              <w:spacing w:before="40" w:after="40"/>
              <w:jc w:val="left"/>
              <w:rPr>
                <w:rFonts w:ascii="Arial" w:hAnsi="Arial" w:cs="Arial"/>
                <w:sz w:val="18"/>
                <w:szCs w:val="18"/>
              </w:rPr>
            </w:pPr>
            <w:r w:rsidRPr="00637580">
              <w:rPr>
                <w:rFonts w:ascii="Arial" w:hAnsi="Arial" w:cs="Arial"/>
                <w:sz w:val="18"/>
                <w:szCs w:val="18"/>
              </w:rPr>
              <w:t>An error resolution notice that is substantially similar to the Model Form A</w:t>
            </w:r>
            <w:r>
              <w:rPr>
                <w:rFonts w:ascii="Arial" w:hAnsi="Arial" w:cs="Arial"/>
                <w:sz w:val="18"/>
                <w:szCs w:val="18"/>
              </w:rPr>
              <w:noBreakHyphen/>
            </w:r>
            <w:r w:rsidRPr="00637580">
              <w:rPr>
                <w:rFonts w:ascii="Arial" w:hAnsi="Arial" w:cs="Arial"/>
                <w:sz w:val="18"/>
                <w:szCs w:val="18"/>
              </w:rPr>
              <w:t>3 in appendix A? (12 CFR 1005.7(b)(10))</w:t>
            </w:r>
          </w:p>
        </w:tc>
        <w:tc>
          <w:tcPr>
            <w:tcW w:w="660" w:type="dxa"/>
            <w:gridSpan w:val="2"/>
          </w:tcPr>
          <w:p w14:paraId="69981AC9" w14:textId="77777777" w:rsidR="003D07CA" w:rsidRPr="00637580" w:rsidRDefault="003D07CA" w:rsidP="003E1F68">
            <w:pPr>
              <w:spacing w:before="40" w:after="40"/>
              <w:jc w:val="center"/>
              <w:rPr>
                <w:rFonts w:ascii="Arial" w:hAnsi="Arial" w:cs="Arial"/>
                <w:sz w:val="18"/>
                <w:szCs w:val="18"/>
              </w:rPr>
            </w:pPr>
          </w:p>
        </w:tc>
        <w:tc>
          <w:tcPr>
            <w:tcW w:w="660" w:type="dxa"/>
          </w:tcPr>
          <w:p w14:paraId="69981ACA"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CB" w14:textId="77777777" w:rsidR="003D07CA" w:rsidRPr="00637580" w:rsidRDefault="003D07CA" w:rsidP="003E1F68">
            <w:pPr>
              <w:spacing w:before="40" w:after="40"/>
              <w:jc w:val="center"/>
              <w:rPr>
                <w:rFonts w:ascii="Arial" w:hAnsi="Arial" w:cs="Arial"/>
                <w:sz w:val="18"/>
                <w:szCs w:val="18"/>
              </w:rPr>
            </w:pPr>
          </w:p>
        </w:tc>
      </w:tr>
      <w:tr w:rsidR="003D07CA" w:rsidRPr="00637580" w14:paraId="69981AD1" w14:textId="77777777" w:rsidTr="003E1F68">
        <w:tc>
          <w:tcPr>
            <w:tcW w:w="7020" w:type="dxa"/>
          </w:tcPr>
          <w:p w14:paraId="69981ACD" w14:textId="77777777" w:rsidR="003D07CA" w:rsidRPr="00637580" w:rsidRDefault="003D07CA" w:rsidP="00525B7F">
            <w:pPr>
              <w:pStyle w:val="Checklist1a"/>
              <w:numPr>
                <w:ilvl w:val="0"/>
                <w:numId w:val="121"/>
              </w:numPr>
              <w:spacing w:before="40" w:after="40"/>
              <w:jc w:val="left"/>
              <w:rPr>
                <w:rFonts w:ascii="Arial" w:hAnsi="Arial" w:cs="Arial"/>
                <w:sz w:val="18"/>
                <w:szCs w:val="18"/>
              </w:rPr>
            </w:pPr>
            <w:r w:rsidRPr="00637580">
              <w:rPr>
                <w:rFonts w:ascii="Arial" w:hAnsi="Arial" w:cs="Arial"/>
                <w:sz w:val="18"/>
                <w:szCs w:val="18"/>
              </w:rPr>
              <w:t>A notice that a fee may be imposed by an ATM operator (as defined in 12</w:t>
            </w:r>
            <w:r>
              <w:rPr>
                <w:rFonts w:ascii="Arial" w:hAnsi="Arial" w:cs="Arial"/>
                <w:sz w:val="18"/>
                <w:szCs w:val="18"/>
              </w:rPr>
              <w:t> </w:t>
            </w:r>
            <w:r w:rsidRPr="00637580">
              <w:rPr>
                <w:rFonts w:ascii="Arial" w:hAnsi="Arial" w:cs="Arial"/>
                <w:sz w:val="18"/>
                <w:szCs w:val="18"/>
              </w:rPr>
              <w:t>CFR 1005.16(a)) when the consumer initiates an EFT or makes a balance inquiry and by any network used to complete the transaction? (12</w:t>
            </w:r>
            <w:r>
              <w:rPr>
                <w:rFonts w:ascii="Arial" w:hAnsi="Arial" w:cs="Arial"/>
                <w:sz w:val="18"/>
                <w:szCs w:val="18"/>
              </w:rPr>
              <w:t> </w:t>
            </w:r>
            <w:r w:rsidRPr="00637580">
              <w:rPr>
                <w:rFonts w:ascii="Arial" w:hAnsi="Arial" w:cs="Arial"/>
                <w:sz w:val="18"/>
                <w:szCs w:val="18"/>
              </w:rPr>
              <w:t>CFR 1005.7(b)(11))</w:t>
            </w:r>
          </w:p>
        </w:tc>
        <w:tc>
          <w:tcPr>
            <w:tcW w:w="660" w:type="dxa"/>
            <w:gridSpan w:val="2"/>
          </w:tcPr>
          <w:p w14:paraId="69981ACE" w14:textId="77777777" w:rsidR="003D07CA" w:rsidRPr="00637580" w:rsidRDefault="003D07CA" w:rsidP="003E1F68">
            <w:pPr>
              <w:spacing w:before="40" w:after="40"/>
              <w:jc w:val="center"/>
              <w:rPr>
                <w:rFonts w:ascii="Arial" w:hAnsi="Arial" w:cs="Arial"/>
                <w:sz w:val="18"/>
                <w:szCs w:val="18"/>
              </w:rPr>
            </w:pPr>
          </w:p>
        </w:tc>
        <w:tc>
          <w:tcPr>
            <w:tcW w:w="660" w:type="dxa"/>
          </w:tcPr>
          <w:p w14:paraId="69981ACF"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AD0" w14:textId="77777777" w:rsidR="003D07CA" w:rsidRPr="00637580" w:rsidRDefault="003D07CA" w:rsidP="003E1F68">
            <w:pPr>
              <w:spacing w:before="40" w:after="40"/>
              <w:jc w:val="center"/>
              <w:rPr>
                <w:rFonts w:ascii="Arial" w:hAnsi="Arial" w:cs="Arial"/>
                <w:sz w:val="18"/>
                <w:szCs w:val="18"/>
              </w:rPr>
            </w:pPr>
          </w:p>
        </w:tc>
      </w:tr>
      <w:tr w:rsidR="003D07CA" w:rsidRPr="00637580" w14:paraId="69981AD6" w14:textId="77777777" w:rsidTr="003E1F68">
        <w:tc>
          <w:tcPr>
            <w:tcW w:w="7020" w:type="dxa"/>
            <w:tcBorders>
              <w:bottom w:val="single" w:sz="4" w:space="0" w:color="auto"/>
            </w:tcBorders>
          </w:tcPr>
          <w:p w14:paraId="69981AD2"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Does the financial institution provide disclosures at the time a new EFT service is added, if the terms and conditions of the service are different from those initially disclosed? (12 CFR 1005.7(c))</w:t>
            </w:r>
          </w:p>
        </w:tc>
        <w:tc>
          <w:tcPr>
            <w:tcW w:w="660" w:type="dxa"/>
            <w:gridSpan w:val="2"/>
            <w:tcBorders>
              <w:bottom w:val="single" w:sz="4" w:space="0" w:color="auto"/>
            </w:tcBorders>
          </w:tcPr>
          <w:p w14:paraId="69981AD3"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AD4" w14:textId="77777777" w:rsidR="003D07CA" w:rsidRPr="00637580" w:rsidRDefault="003D07CA" w:rsidP="003E1F68">
            <w:pPr>
              <w:spacing w:before="40" w:after="40"/>
              <w:jc w:val="center"/>
              <w:rPr>
                <w:rFonts w:ascii="Arial" w:hAnsi="Arial" w:cs="Arial"/>
                <w:sz w:val="18"/>
                <w:szCs w:val="18"/>
              </w:rPr>
            </w:pPr>
          </w:p>
        </w:tc>
        <w:tc>
          <w:tcPr>
            <w:tcW w:w="660" w:type="dxa"/>
            <w:gridSpan w:val="2"/>
            <w:tcBorders>
              <w:bottom w:val="single" w:sz="4" w:space="0" w:color="auto"/>
            </w:tcBorders>
          </w:tcPr>
          <w:p w14:paraId="69981AD5" w14:textId="77777777" w:rsidR="003D07CA" w:rsidRPr="00637580" w:rsidRDefault="003D07CA" w:rsidP="003E1F68">
            <w:pPr>
              <w:spacing w:before="40" w:after="40"/>
              <w:jc w:val="center"/>
              <w:rPr>
                <w:rFonts w:ascii="Arial" w:hAnsi="Arial" w:cs="Arial"/>
                <w:sz w:val="18"/>
                <w:szCs w:val="18"/>
              </w:rPr>
            </w:pPr>
          </w:p>
        </w:tc>
      </w:tr>
    </w:tbl>
    <w:p w14:paraId="69981AD7" w14:textId="77777777" w:rsidR="003D07CA" w:rsidRPr="008B7E6A" w:rsidRDefault="003D07CA" w:rsidP="003D07CA">
      <w:pPr>
        <w:rPr>
          <w:rFonts w:ascii="Arial" w:hAnsi="Arial" w:cs="Arial"/>
          <w:sz w:val="18"/>
          <w:szCs w:val="18"/>
        </w:rPr>
      </w:pPr>
      <w:r w:rsidRPr="008B7E6A">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ADC" w14:textId="77777777" w:rsidTr="003E1F68">
        <w:tc>
          <w:tcPr>
            <w:tcW w:w="7020" w:type="dxa"/>
            <w:shd w:val="clear" w:color="auto" w:fill="auto"/>
          </w:tcPr>
          <w:p w14:paraId="69981AD8"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lastRenderedPageBreak/>
              <w:t>EFTA Worksheet</w:t>
            </w:r>
          </w:p>
        </w:tc>
        <w:tc>
          <w:tcPr>
            <w:tcW w:w="660" w:type="dxa"/>
            <w:shd w:val="clear" w:color="auto" w:fill="auto"/>
          </w:tcPr>
          <w:p w14:paraId="69981AD9"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shd w:val="clear" w:color="auto" w:fill="auto"/>
          </w:tcPr>
          <w:p w14:paraId="69981ADA"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No</w:t>
            </w:r>
          </w:p>
        </w:tc>
        <w:tc>
          <w:tcPr>
            <w:tcW w:w="660" w:type="dxa"/>
            <w:shd w:val="clear" w:color="auto" w:fill="auto"/>
          </w:tcPr>
          <w:p w14:paraId="69981ADB"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AE1" w14:textId="77777777" w:rsidTr="003E1F68">
        <w:tc>
          <w:tcPr>
            <w:tcW w:w="7020" w:type="dxa"/>
            <w:shd w:val="clear" w:color="auto" w:fill="D9D9D9" w:themeFill="background1" w:themeFillShade="D9"/>
            <w:vAlign w:val="center"/>
          </w:tcPr>
          <w:p w14:paraId="69981ADD" w14:textId="77777777" w:rsidR="003D07CA" w:rsidRPr="00D7575F" w:rsidRDefault="00155765" w:rsidP="003E1F68">
            <w:pPr>
              <w:spacing w:before="40" w:after="40"/>
              <w:rPr>
                <w:rFonts w:ascii="Arial" w:hAnsi="Arial" w:cs="Arial"/>
                <w:sz w:val="18"/>
                <w:szCs w:val="18"/>
              </w:rPr>
            </w:pPr>
            <w:r>
              <w:rPr>
                <w:rFonts w:ascii="Arial" w:hAnsi="Arial" w:cs="Arial"/>
                <w:b/>
                <w:sz w:val="18"/>
                <w:szCs w:val="18"/>
              </w:rPr>
              <w:t>12 CFR</w:t>
            </w:r>
            <w:r w:rsidR="003D07CA" w:rsidRPr="007C7C6F">
              <w:rPr>
                <w:rFonts w:ascii="Arial" w:hAnsi="Arial" w:cs="Arial"/>
                <w:b/>
                <w:sz w:val="18"/>
                <w:szCs w:val="18"/>
              </w:rPr>
              <w:t xml:space="preserve"> 1005.8 –</w:t>
            </w:r>
            <w:r w:rsidR="003D07CA" w:rsidRPr="00D7575F">
              <w:rPr>
                <w:rFonts w:ascii="Arial" w:hAnsi="Arial" w:cs="Arial"/>
                <w:b/>
                <w:sz w:val="18"/>
                <w:szCs w:val="18"/>
              </w:rPr>
              <w:t xml:space="preserve"> Change-in-Terms Notice; Error Resolution Notice</w:t>
            </w:r>
          </w:p>
        </w:tc>
        <w:tc>
          <w:tcPr>
            <w:tcW w:w="660" w:type="dxa"/>
            <w:shd w:val="clear" w:color="auto" w:fill="D9D9D9" w:themeFill="background1" w:themeFillShade="D9"/>
          </w:tcPr>
          <w:p w14:paraId="69981ADE"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ADF"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AE0"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AE6" w14:textId="77777777" w:rsidTr="003E1F68">
        <w:tc>
          <w:tcPr>
            <w:tcW w:w="7020" w:type="dxa"/>
          </w:tcPr>
          <w:p w14:paraId="69981AE2"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 xml:space="preserve">If the financial institution made any changes in terms or conditions required to be disclosed under section 1005.7(b) that would result in increased fees, increased liability, fewer types of available EFTs, or stricter limits on the frequency or dollar amount of transfers, did the financial institution provide a written notice to consumers at least 21 days prior to the effective date of such change? (12 CFR 1005.8(a)) </w:t>
            </w:r>
          </w:p>
        </w:tc>
        <w:tc>
          <w:tcPr>
            <w:tcW w:w="660" w:type="dxa"/>
          </w:tcPr>
          <w:p w14:paraId="69981AE3" w14:textId="77777777" w:rsidR="003D07CA" w:rsidRPr="00637580" w:rsidRDefault="003D07CA" w:rsidP="003E1F68">
            <w:pPr>
              <w:spacing w:before="40" w:after="40"/>
              <w:jc w:val="center"/>
              <w:rPr>
                <w:rFonts w:ascii="Arial" w:hAnsi="Arial" w:cs="Arial"/>
                <w:sz w:val="18"/>
                <w:szCs w:val="18"/>
              </w:rPr>
            </w:pPr>
          </w:p>
        </w:tc>
        <w:tc>
          <w:tcPr>
            <w:tcW w:w="660" w:type="dxa"/>
          </w:tcPr>
          <w:p w14:paraId="69981AE4" w14:textId="77777777" w:rsidR="003D07CA" w:rsidRPr="00637580" w:rsidRDefault="003D07CA" w:rsidP="003E1F68">
            <w:pPr>
              <w:spacing w:before="40" w:after="40"/>
              <w:jc w:val="center"/>
              <w:rPr>
                <w:rFonts w:ascii="Arial" w:hAnsi="Arial" w:cs="Arial"/>
                <w:sz w:val="18"/>
                <w:szCs w:val="18"/>
              </w:rPr>
            </w:pPr>
          </w:p>
        </w:tc>
        <w:tc>
          <w:tcPr>
            <w:tcW w:w="660" w:type="dxa"/>
          </w:tcPr>
          <w:p w14:paraId="69981AE5" w14:textId="77777777" w:rsidR="003D07CA" w:rsidRPr="00637580" w:rsidRDefault="003D07CA" w:rsidP="003E1F68">
            <w:pPr>
              <w:spacing w:before="40" w:after="40"/>
              <w:jc w:val="center"/>
              <w:rPr>
                <w:rFonts w:ascii="Arial" w:hAnsi="Arial" w:cs="Arial"/>
                <w:sz w:val="18"/>
                <w:szCs w:val="18"/>
              </w:rPr>
            </w:pPr>
          </w:p>
        </w:tc>
      </w:tr>
      <w:tr w:rsidR="003D07CA" w:rsidRPr="00637580" w14:paraId="69981AEB" w14:textId="77777777" w:rsidTr="003E1F68">
        <w:tc>
          <w:tcPr>
            <w:tcW w:w="7020" w:type="dxa"/>
            <w:tcBorders>
              <w:bottom w:val="single" w:sz="4" w:space="0" w:color="auto"/>
            </w:tcBorders>
          </w:tcPr>
          <w:p w14:paraId="69981AE7"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 xml:space="preserve">Does the financial institution provide either the long form error resolution notice at least once every calendar year or the short form error resolution notice on each periodic statement? (12 CFR 1005.8(b)) </w:t>
            </w:r>
          </w:p>
        </w:tc>
        <w:tc>
          <w:tcPr>
            <w:tcW w:w="660" w:type="dxa"/>
            <w:tcBorders>
              <w:bottom w:val="single" w:sz="4" w:space="0" w:color="auto"/>
            </w:tcBorders>
          </w:tcPr>
          <w:p w14:paraId="69981AE8"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AE9"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AEA" w14:textId="77777777" w:rsidR="003D07CA" w:rsidRPr="00637580" w:rsidRDefault="003D07CA" w:rsidP="003E1F68">
            <w:pPr>
              <w:spacing w:before="40" w:after="40"/>
              <w:jc w:val="center"/>
              <w:rPr>
                <w:rFonts w:ascii="Arial" w:hAnsi="Arial" w:cs="Arial"/>
                <w:sz w:val="18"/>
                <w:szCs w:val="18"/>
              </w:rPr>
            </w:pPr>
          </w:p>
        </w:tc>
      </w:tr>
      <w:tr w:rsidR="003D07CA" w:rsidRPr="00637580" w14:paraId="69981AF0" w14:textId="77777777" w:rsidTr="003E1F68">
        <w:tc>
          <w:tcPr>
            <w:tcW w:w="7020" w:type="dxa"/>
            <w:shd w:val="clear" w:color="auto" w:fill="D9D9D9" w:themeFill="background1" w:themeFillShade="D9"/>
            <w:vAlign w:val="center"/>
          </w:tcPr>
          <w:p w14:paraId="69981AEC" w14:textId="77777777" w:rsidR="003D07CA" w:rsidRPr="00637580" w:rsidRDefault="00155765" w:rsidP="003E1F68">
            <w:pPr>
              <w:spacing w:before="40" w:after="40"/>
              <w:rPr>
                <w:rFonts w:ascii="Arial" w:hAnsi="Arial" w:cs="Arial"/>
                <w:b/>
                <w:sz w:val="18"/>
                <w:szCs w:val="18"/>
              </w:rPr>
            </w:pPr>
            <w:r>
              <w:rPr>
                <w:rFonts w:ascii="Arial" w:hAnsi="Arial" w:cs="Arial"/>
                <w:b/>
                <w:sz w:val="18"/>
                <w:szCs w:val="18"/>
              </w:rPr>
              <w:t>12 CFR</w:t>
            </w:r>
            <w:r w:rsidR="003D07CA" w:rsidRPr="00637580">
              <w:rPr>
                <w:rFonts w:ascii="Arial" w:hAnsi="Arial" w:cs="Arial"/>
                <w:b/>
                <w:sz w:val="18"/>
                <w:szCs w:val="18"/>
              </w:rPr>
              <w:t xml:space="preserve"> 1005.9 – Receipts at Electronic Terminals; Periodic Statements</w:t>
            </w:r>
          </w:p>
        </w:tc>
        <w:tc>
          <w:tcPr>
            <w:tcW w:w="660" w:type="dxa"/>
            <w:shd w:val="clear" w:color="auto" w:fill="D9D9D9" w:themeFill="background1" w:themeFillShade="D9"/>
          </w:tcPr>
          <w:p w14:paraId="69981AED"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AEE"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AEF"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AF5" w14:textId="77777777" w:rsidTr="003E1F68">
        <w:tc>
          <w:tcPr>
            <w:tcW w:w="7020" w:type="dxa"/>
          </w:tcPr>
          <w:p w14:paraId="69981AF1"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 xml:space="preserve">Does the financial institution make receipts available to the consumer at the time the consumer initiates an EFT at an electronic terminal? </w:t>
            </w:r>
            <w:r w:rsidR="003A32E6">
              <w:rPr>
                <w:rFonts w:ascii="Arial" w:hAnsi="Arial" w:cs="Arial"/>
                <w:sz w:val="18"/>
                <w:szCs w:val="18"/>
              </w:rPr>
              <w:t>(Note:</w:t>
            </w:r>
            <w:r w:rsidR="006D5984">
              <w:rPr>
                <w:rFonts w:ascii="Arial" w:hAnsi="Arial" w:cs="Arial"/>
                <w:sz w:val="18"/>
                <w:szCs w:val="18"/>
              </w:rPr>
              <w:t xml:space="preserve"> </w:t>
            </w:r>
            <w:r w:rsidRPr="00637580">
              <w:rPr>
                <w:rFonts w:ascii="Arial" w:hAnsi="Arial" w:cs="Arial"/>
                <w:sz w:val="18"/>
                <w:szCs w:val="18"/>
              </w:rPr>
              <w:t>The financial institution is exempt from this requirement for EFTs of $15 or less.</w:t>
            </w:r>
            <w:r w:rsidR="003A32E6">
              <w:rPr>
                <w:rFonts w:ascii="Arial" w:hAnsi="Arial" w:cs="Arial"/>
                <w:sz w:val="18"/>
                <w:szCs w:val="18"/>
              </w:rPr>
              <w:t>)</w:t>
            </w:r>
            <w:r w:rsidRPr="00637580">
              <w:rPr>
                <w:rFonts w:ascii="Arial" w:hAnsi="Arial" w:cs="Arial"/>
                <w:sz w:val="18"/>
                <w:szCs w:val="18"/>
              </w:rPr>
              <w:t xml:space="preserve">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1005.9(a) and (e))</w:t>
            </w:r>
          </w:p>
        </w:tc>
        <w:tc>
          <w:tcPr>
            <w:tcW w:w="660" w:type="dxa"/>
            <w:tcBorders>
              <w:bottom w:val="single" w:sz="4" w:space="0" w:color="auto"/>
            </w:tcBorders>
          </w:tcPr>
          <w:p w14:paraId="69981AF2"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AF3"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AF4" w14:textId="77777777" w:rsidR="003D07CA" w:rsidRPr="00637580" w:rsidRDefault="003D07CA" w:rsidP="003E1F68">
            <w:pPr>
              <w:spacing w:before="40" w:after="40"/>
              <w:jc w:val="center"/>
              <w:rPr>
                <w:rFonts w:ascii="Arial" w:hAnsi="Arial" w:cs="Arial"/>
                <w:sz w:val="18"/>
                <w:szCs w:val="18"/>
              </w:rPr>
            </w:pPr>
          </w:p>
        </w:tc>
      </w:tr>
      <w:tr w:rsidR="003D07CA" w:rsidRPr="00637580" w14:paraId="69981AFA" w14:textId="77777777" w:rsidTr="003E1F68">
        <w:tc>
          <w:tcPr>
            <w:tcW w:w="7020" w:type="dxa"/>
          </w:tcPr>
          <w:p w14:paraId="69981AF6"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 xml:space="preserve">Do the receipts contain </w:t>
            </w:r>
            <w:r w:rsidR="003A32E6">
              <w:rPr>
                <w:rFonts w:ascii="Arial" w:hAnsi="Arial" w:cs="Arial"/>
                <w:sz w:val="18"/>
                <w:szCs w:val="18"/>
              </w:rPr>
              <w:t xml:space="preserve">all of </w:t>
            </w:r>
            <w:r w:rsidRPr="00637580">
              <w:rPr>
                <w:rFonts w:ascii="Arial" w:hAnsi="Arial" w:cs="Arial"/>
                <w:sz w:val="18"/>
                <w:szCs w:val="18"/>
              </w:rPr>
              <w:t>the following information, as applicable:</w:t>
            </w:r>
          </w:p>
        </w:tc>
        <w:tc>
          <w:tcPr>
            <w:tcW w:w="660" w:type="dxa"/>
            <w:shd w:val="clear" w:color="auto" w:fill="D9D9D9" w:themeFill="background1" w:themeFillShade="D9"/>
          </w:tcPr>
          <w:p w14:paraId="69981AF7"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AF8"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AF9" w14:textId="77777777" w:rsidR="003D07CA" w:rsidRPr="00637580" w:rsidRDefault="003D07CA" w:rsidP="003E1F68">
            <w:pPr>
              <w:spacing w:before="40" w:after="40"/>
              <w:jc w:val="center"/>
              <w:rPr>
                <w:rFonts w:ascii="Arial" w:hAnsi="Arial" w:cs="Arial"/>
                <w:sz w:val="18"/>
                <w:szCs w:val="18"/>
              </w:rPr>
            </w:pPr>
          </w:p>
        </w:tc>
      </w:tr>
      <w:tr w:rsidR="003D07CA" w:rsidRPr="00637580" w14:paraId="69981AFF" w14:textId="77777777" w:rsidTr="003E1F68">
        <w:tc>
          <w:tcPr>
            <w:tcW w:w="7020" w:type="dxa"/>
          </w:tcPr>
          <w:p w14:paraId="69981AFB" w14:textId="77777777" w:rsidR="003D07CA" w:rsidRPr="00637580" w:rsidRDefault="003D07CA" w:rsidP="00525B7F">
            <w:pPr>
              <w:pStyle w:val="Checklist1a"/>
              <w:numPr>
                <w:ilvl w:val="0"/>
                <w:numId w:val="122"/>
              </w:numPr>
              <w:spacing w:before="40" w:after="40"/>
              <w:jc w:val="left"/>
              <w:rPr>
                <w:rFonts w:ascii="Arial" w:hAnsi="Arial" w:cs="Arial"/>
                <w:sz w:val="18"/>
                <w:szCs w:val="18"/>
              </w:rPr>
            </w:pPr>
            <w:r w:rsidRPr="00637580">
              <w:rPr>
                <w:rFonts w:ascii="Arial" w:hAnsi="Arial" w:cs="Arial"/>
                <w:sz w:val="18"/>
                <w:szCs w:val="18"/>
              </w:rPr>
              <w:t>The amount of the transfer? (12 CFR 1005.9(a)(1))</w:t>
            </w:r>
          </w:p>
        </w:tc>
        <w:tc>
          <w:tcPr>
            <w:tcW w:w="660" w:type="dxa"/>
          </w:tcPr>
          <w:p w14:paraId="69981AFC" w14:textId="77777777" w:rsidR="003D07CA" w:rsidRPr="00637580" w:rsidRDefault="003D07CA" w:rsidP="003E1F68">
            <w:pPr>
              <w:spacing w:before="40" w:after="40"/>
              <w:jc w:val="center"/>
              <w:rPr>
                <w:rFonts w:ascii="Arial" w:hAnsi="Arial" w:cs="Arial"/>
                <w:sz w:val="18"/>
                <w:szCs w:val="18"/>
              </w:rPr>
            </w:pPr>
          </w:p>
        </w:tc>
        <w:tc>
          <w:tcPr>
            <w:tcW w:w="660" w:type="dxa"/>
          </w:tcPr>
          <w:p w14:paraId="69981AFD" w14:textId="77777777" w:rsidR="003D07CA" w:rsidRPr="00637580" w:rsidRDefault="003D07CA" w:rsidP="003E1F68">
            <w:pPr>
              <w:spacing w:before="40" w:after="40"/>
              <w:jc w:val="center"/>
              <w:rPr>
                <w:rFonts w:ascii="Arial" w:hAnsi="Arial" w:cs="Arial"/>
                <w:sz w:val="18"/>
                <w:szCs w:val="18"/>
              </w:rPr>
            </w:pPr>
          </w:p>
        </w:tc>
        <w:tc>
          <w:tcPr>
            <w:tcW w:w="660" w:type="dxa"/>
          </w:tcPr>
          <w:p w14:paraId="69981AFE" w14:textId="77777777" w:rsidR="003D07CA" w:rsidRPr="00637580" w:rsidRDefault="003D07CA" w:rsidP="003E1F68">
            <w:pPr>
              <w:spacing w:before="40" w:after="40"/>
              <w:jc w:val="center"/>
              <w:rPr>
                <w:rFonts w:ascii="Arial" w:hAnsi="Arial" w:cs="Arial"/>
                <w:sz w:val="18"/>
                <w:szCs w:val="18"/>
              </w:rPr>
            </w:pPr>
          </w:p>
        </w:tc>
      </w:tr>
      <w:tr w:rsidR="003D07CA" w:rsidRPr="00637580" w14:paraId="69981B04" w14:textId="77777777" w:rsidTr="003E1F68">
        <w:tc>
          <w:tcPr>
            <w:tcW w:w="7020" w:type="dxa"/>
          </w:tcPr>
          <w:p w14:paraId="69981B00" w14:textId="77777777" w:rsidR="003D07CA" w:rsidRPr="00637580" w:rsidRDefault="003D07CA" w:rsidP="00525B7F">
            <w:pPr>
              <w:pStyle w:val="Checklist1a"/>
              <w:numPr>
                <w:ilvl w:val="0"/>
                <w:numId w:val="122"/>
              </w:numPr>
              <w:spacing w:before="40" w:after="40"/>
              <w:jc w:val="left"/>
              <w:rPr>
                <w:rFonts w:ascii="Arial" w:hAnsi="Arial" w:cs="Arial"/>
                <w:sz w:val="18"/>
                <w:szCs w:val="18"/>
              </w:rPr>
            </w:pPr>
            <w:r w:rsidRPr="00637580">
              <w:rPr>
                <w:rFonts w:ascii="Arial" w:hAnsi="Arial" w:cs="Arial"/>
                <w:sz w:val="18"/>
                <w:szCs w:val="18"/>
              </w:rPr>
              <w:t>The date the transfer was initiated? (12 CFR 1005.9(a)(2))</w:t>
            </w:r>
          </w:p>
        </w:tc>
        <w:tc>
          <w:tcPr>
            <w:tcW w:w="660" w:type="dxa"/>
          </w:tcPr>
          <w:p w14:paraId="69981B01" w14:textId="77777777" w:rsidR="003D07CA" w:rsidRPr="00637580" w:rsidRDefault="003D07CA" w:rsidP="003E1F68">
            <w:pPr>
              <w:spacing w:before="40" w:after="40"/>
              <w:jc w:val="center"/>
              <w:rPr>
                <w:rFonts w:ascii="Arial" w:hAnsi="Arial" w:cs="Arial"/>
                <w:sz w:val="18"/>
                <w:szCs w:val="18"/>
              </w:rPr>
            </w:pPr>
          </w:p>
        </w:tc>
        <w:tc>
          <w:tcPr>
            <w:tcW w:w="660" w:type="dxa"/>
          </w:tcPr>
          <w:p w14:paraId="69981B02" w14:textId="77777777" w:rsidR="003D07CA" w:rsidRPr="00637580" w:rsidRDefault="003D07CA" w:rsidP="003E1F68">
            <w:pPr>
              <w:spacing w:before="40" w:after="40"/>
              <w:jc w:val="center"/>
              <w:rPr>
                <w:rFonts w:ascii="Arial" w:hAnsi="Arial" w:cs="Arial"/>
                <w:sz w:val="18"/>
                <w:szCs w:val="18"/>
              </w:rPr>
            </w:pPr>
          </w:p>
        </w:tc>
        <w:tc>
          <w:tcPr>
            <w:tcW w:w="660" w:type="dxa"/>
          </w:tcPr>
          <w:p w14:paraId="69981B03" w14:textId="77777777" w:rsidR="003D07CA" w:rsidRPr="00637580" w:rsidRDefault="003D07CA" w:rsidP="003E1F68">
            <w:pPr>
              <w:spacing w:before="40" w:after="40"/>
              <w:jc w:val="center"/>
              <w:rPr>
                <w:rFonts w:ascii="Arial" w:hAnsi="Arial" w:cs="Arial"/>
                <w:sz w:val="18"/>
                <w:szCs w:val="18"/>
              </w:rPr>
            </w:pPr>
          </w:p>
        </w:tc>
      </w:tr>
      <w:tr w:rsidR="003D07CA" w:rsidRPr="00637580" w14:paraId="69981B09" w14:textId="77777777" w:rsidTr="003E1F68">
        <w:tc>
          <w:tcPr>
            <w:tcW w:w="7020" w:type="dxa"/>
          </w:tcPr>
          <w:p w14:paraId="69981B05" w14:textId="77777777" w:rsidR="003D07CA" w:rsidRPr="00637580" w:rsidRDefault="003D07CA" w:rsidP="00525B7F">
            <w:pPr>
              <w:pStyle w:val="Checklist1a"/>
              <w:numPr>
                <w:ilvl w:val="0"/>
                <w:numId w:val="122"/>
              </w:numPr>
              <w:spacing w:before="40" w:after="40"/>
              <w:jc w:val="left"/>
              <w:rPr>
                <w:rFonts w:ascii="Arial" w:hAnsi="Arial" w:cs="Arial"/>
                <w:sz w:val="18"/>
                <w:szCs w:val="18"/>
              </w:rPr>
            </w:pPr>
            <w:r w:rsidRPr="00637580">
              <w:rPr>
                <w:rFonts w:ascii="Arial" w:hAnsi="Arial" w:cs="Arial"/>
                <w:sz w:val="18"/>
                <w:szCs w:val="18"/>
              </w:rPr>
              <w:t>The type of transfer and the type of account to or from which funds were transferred? (12 CFR 1005.9(a)(3))</w:t>
            </w:r>
          </w:p>
        </w:tc>
        <w:tc>
          <w:tcPr>
            <w:tcW w:w="660" w:type="dxa"/>
          </w:tcPr>
          <w:p w14:paraId="69981B06" w14:textId="77777777" w:rsidR="003D07CA" w:rsidRPr="00637580" w:rsidRDefault="003D07CA" w:rsidP="003E1F68">
            <w:pPr>
              <w:spacing w:before="40" w:after="40"/>
              <w:jc w:val="center"/>
              <w:rPr>
                <w:rFonts w:ascii="Arial" w:hAnsi="Arial" w:cs="Arial"/>
                <w:sz w:val="18"/>
                <w:szCs w:val="18"/>
              </w:rPr>
            </w:pPr>
          </w:p>
        </w:tc>
        <w:tc>
          <w:tcPr>
            <w:tcW w:w="660" w:type="dxa"/>
          </w:tcPr>
          <w:p w14:paraId="69981B07" w14:textId="77777777" w:rsidR="003D07CA" w:rsidRPr="00637580" w:rsidRDefault="003D07CA" w:rsidP="003E1F68">
            <w:pPr>
              <w:spacing w:before="40" w:after="40"/>
              <w:jc w:val="center"/>
              <w:rPr>
                <w:rFonts w:ascii="Arial" w:hAnsi="Arial" w:cs="Arial"/>
                <w:sz w:val="18"/>
                <w:szCs w:val="18"/>
              </w:rPr>
            </w:pPr>
          </w:p>
        </w:tc>
        <w:tc>
          <w:tcPr>
            <w:tcW w:w="660" w:type="dxa"/>
          </w:tcPr>
          <w:p w14:paraId="69981B08" w14:textId="77777777" w:rsidR="003D07CA" w:rsidRPr="00637580" w:rsidRDefault="003D07CA" w:rsidP="003E1F68">
            <w:pPr>
              <w:spacing w:before="40" w:after="40"/>
              <w:jc w:val="center"/>
              <w:rPr>
                <w:rFonts w:ascii="Arial" w:hAnsi="Arial" w:cs="Arial"/>
                <w:sz w:val="18"/>
                <w:szCs w:val="18"/>
              </w:rPr>
            </w:pPr>
          </w:p>
        </w:tc>
      </w:tr>
      <w:tr w:rsidR="003D07CA" w:rsidRPr="00637580" w14:paraId="69981B0E" w14:textId="77777777" w:rsidTr="003E1F68">
        <w:tc>
          <w:tcPr>
            <w:tcW w:w="7020" w:type="dxa"/>
          </w:tcPr>
          <w:p w14:paraId="69981B0A" w14:textId="77777777" w:rsidR="003D07CA" w:rsidRPr="00637580" w:rsidRDefault="003D07CA" w:rsidP="00525B7F">
            <w:pPr>
              <w:pStyle w:val="Checklist1a"/>
              <w:numPr>
                <w:ilvl w:val="0"/>
                <w:numId w:val="122"/>
              </w:numPr>
              <w:spacing w:before="40" w:after="40"/>
              <w:jc w:val="left"/>
              <w:rPr>
                <w:rFonts w:ascii="Arial" w:hAnsi="Arial" w:cs="Arial"/>
                <w:sz w:val="18"/>
                <w:szCs w:val="18"/>
              </w:rPr>
            </w:pPr>
            <w:r w:rsidRPr="00637580">
              <w:rPr>
                <w:rFonts w:ascii="Arial" w:hAnsi="Arial" w:cs="Arial"/>
                <w:sz w:val="18"/>
                <w:szCs w:val="18"/>
              </w:rPr>
              <w:t>A number or code that identifies the consumer’s account or the access device used to initiate the transfer? (12 CFR 1005.9(a)(4))</w:t>
            </w:r>
          </w:p>
        </w:tc>
        <w:tc>
          <w:tcPr>
            <w:tcW w:w="660" w:type="dxa"/>
          </w:tcPr>
          <w:p w14:paraId="69981B0B" w14:textId="77777777" w:rsidR="003D07CA" w:rsidRPr="00637580" w:rsidRDefault="003D07CA" w:rsidP="003E1F68">
            <w:pPr>
              <w:spacing w:before="40" w:after="40"/>
              <w:jc w:val="center"/>
              <w:rPr>
                <w:rFonts w:ascii="Arial" w:hAnsi="Arial" w:cs="Arial"/>
                <w:sz w:val="18"/>
                <w:szCs w:val="18"/>
              </w:rPr>
            </w:pPr>
          </w:p>
        </w:tc>
        <w:tc>
          <w:tcPr>
            <w:tcW w:w="660" w:type="dxa"/>
          </w:tcPr>
          <w:p w14:paraId="69981B0C" w14:textId="77777777" w:rsidR="003D07CA" w:rsidRPr="00637580" w:rsidRDefault="003D07CA" w:rsidP="003E1F68">
            <w:pPr>
              <w:spacing w:before="40" w:after="40"/>
              <w:jc w:val="center"/>
              <w:rPr>
                <w:rFonts w:ascii="Arial" w:hAnsi="Arial" w:cs="Arial"/>
                <w:sz w:val="18"/>
                <w:szCs w:val="18"/>
              </w:rPr>
            </w:pPr>
          </w:p>
        </w:tc>
        <w:tc>
          <w:tcPr>
            <w:tcW w:w="660" w:type="dxa"/>
          </w:tcPr>
          <w:p w14:paraId="69981B0D" w14:textId="77777777" w:rsidR="003D07CA" w:rsidRPr="00637580" w:rsidRDefault="003D07CA" w:rsidP="003E1F68">
            <w:pPr>
              <w:spacing w:before="40" w:after="40"/>
              <w:jc w:val="center"/>
              <w:rPr>
                <w:rFonts w:ascii="Arial" w:hAnsi="Arial" w:cs="Arial"/>
                <w:sz w:val="18"/>
                <w:szCs w:val="18"/>
              </w:rPr>
            </w:pPr>
          </w:p>
        </w:tc>
      </w:tr>
      <w:tr w:rsidR="003D07CA" w:rsidRPr="00637580" w14:paraId="69981B13" w14:textId="77777777" w:rsidTr="003E1F68">
        <w:tc>
          <w:tcPr>
            <w:tcW w:w="7020" w:type="dxa"/>
          </w:tcPr>
          <w:p w14:paraId="69981B0F" w14:textId="77777777" w:rsidR="003D07CA" w:rsidRPr="007C7C6F" w:rsidRDefault="003D07CA" w:rsidP="00525B7F">
            <w:pPr>
              <w:pStyle w:val="Checklist1a"/>
              <w:numPr>
                <w:ilvl w:val="0"/>
                <w:numId w:val="122"/>
              </w:numPr>
              <w:spacing w:before="40" w:after="40"/>
              <w:jc w:val="left"/>
              <w:rPr>
                <w:rFonts w:ascii="Arial" w:hAnsi="Arial" w:cs="Arial"/>
                <w:sz w:val="18"/>
                <w:szCs w:val="18"/>
              </w:rPr>
            </w:pPr>
            <w:r w:rsidRPr="00637580">
              <w:rPr>
                <w:rFonts w:ascii="Arial" w:hAnsi="Arial" w:cs="Arial"/>
                <w:sz w:val="18"/>
                <w:szCs w:val="18"/>
              </w:rPr>
              <w:t>The terminal location where the transfer is initiated?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1005.9(a)(5))</w:t>
            </w:r>
          </w:p>
        </w:tc>
        <w:tc>
          <w:tcPr>
            <w:tcW w:w="660" w:type="dxa"/>
          </w:tcPr>
          <w:p w14:paraId="69981B10" w14:textId="77777777" w:rsidR="003D07CA" w:rsidRPr="007C7C6F" w:rsidRDefault="003D07CA" w:rsidP="003E1F68">
            <w:pPr>
              <w:spacing w:before="40" w:after="40"/>
              <w:jc w:val="center"/>
              <w:rPr>
                <w:rFonts w:ascii="Arial" w:hAnsi="Arial" w:cs="Arial"/>
                <w:sz w:val="18"/>
                <w:szCs w:val="18"/>
              </w:rPr>
            </w:pPr>
          </w:p>
        </w:tc>
        <w:tc>
          <w:tcPr>
            <w:tcW w:w="660" w:type="dxa"/>
          </w:tcPr>
          <w:p w14:paraId="69981B11" w14:textId="77777777" w:rsidR="003D07CA" w:rsidRPr="007C7C6F" w:rsidRDefault="003D07CA" w:rsidP="003E1F68">
            <w:pPr>
              <w:spacing w:before="40" w:after="40"/>
              <w:jc w:val="center"/>
              <w:rPr>
                <w:rFonts w:ascii="Arial" w:hAnsi="Arial" w:cs="Arial"/>
                <w:sz w:val="18"/>
                <w:szCs w:val="18"/>
              </w:rPr>
            </w:pPr>
          </w:p>
        </w:tc>
        <w:tc>
          <w:tcPr>
            <w:tcW w:w="660" w:type="dxa"/>
          </w:tcPr>
          <w:p w14:paraId="69981B12" w14:textId="77777777" w:rsidR="003D07CA" w:rsidRPr="00637580" w:rsidRDefault="003D07CA" w:rsidP="003E1F68">
            <w:pPr>
              <w:spacing w:before="40" w:after="40"/>
              <w:jc w:val="center"/>
              <w:rPr>
                <w:rFonts w:ascii="Arial" w:hAnsi="Arial" w:cs="Arial"/>
                <w:sz w:val="18"/>
                <w:szCs w:val="18"/>
              </w:rPr>
            </w:pPr>
          </w:p>
        </w:tc>
      </w:tr>
      <w:tr w:rsidR="003D07CA" w:rsidRPr="00637580" w14:paraId="69981B18" w14:textId="77777777" w:rsidTr="003E1F68">
        <w:tc>
          <w:tcPr>
            <w:tcW w:w="7020" w:type="dxa"/>
          </w:tcPr>
          <w:p w14:paraId="69981B14" w14:textId="77777777" w:rsidR="003D07CA" w:rsidRPr="00637580" w:rsidRDefault="003D07CA" w:rsidP="00525B7F">
            <w:pPr>
              <w:pStyle w:val="Checklist1a"/>
              <w:numPr>
                <w:ilvl w:val="0"/>
                <w:numId w:val="122"/>
              </w:numPr>
              <w:spacing w:before="40" w:after="40"/>
              <w:jc w:val="left"/>
              <w:rPr>
                <w:rFonts w:ascii="Arial" w:hAnsi="Arial" w:cs="Arial"/>
                <w:sz w:val="18"/>
                <w:szCs w:val="18"/>
              </w:rPr>
            </w:pPr>
            <w:r w:rsidRPr="00637580">
              <w:rPr>
                <w:rFonts w:ascii="Arial" w:hAnsi="Arial" w:cs="Arial"/>
                <w:sz w:val="18"/>
                <w:szCs w:val="18"/>
              </w:rPr>
              <w:t>The name or other identifying information of any third party to or from whom funds are transferred? (12 CFR 1005.9(a)(6))</w:t>
            </w:r>
          </w:p>
        </w:tc>
        <w:tc>
          <w:tcPr>
            <w:tcW w:w="660" w:type="dxa"/>
          </w:tcPr>
          <w:p w14:paraId="69981B15" w14:textId="77777777" w:rsidR="003D07CA" w:rsidRPr="00637580" w:rsidRDefault="003D07CA" w:rsidP="003E1F68">
            <w:pPr>
              <w:spacing w:before="40" w:after="40"/>
              <w:jc w:val="center"/>
              <w:rPr>
                <w:rFonts w:ascii="Arial" w:hAnsi="Arial" w:cs="Arial"/>
                <w:sz w:val="18"/>
                <w:szCs w:val="18"/>
              </w:rPr>
            </w:pPr>
          </w:p>
        </w:tc>
        <w:tc>
          <w:tcPr>
            <w:tcW w:w="660" w:type="dxa"/>
          </w:tcPr>
          <w:p w14:paraId="69981B16" w14:textId="77777777" w:rsidR="003D07CA" w:rsidRPr="00637580" w:rsidRDefault="003D07CA" w:rsidP="003E1F68">
            <w:pPr>
              <w:spacing w:before="40" w:after="40"/>
              <w:jc w:val="center"/>
              <w:rPr>
                <w:rFonts w:ascii="Arial" w:hAnsi="Arial" w:cs="Arial"/>
                <w:sz w:val="18"/>
                <w:szCs w:val="18"/>
              </w:rPr>
            </w:pPr>
          </w:p>
        </w:tc>
        <w:tc>
          <w:tcPr>
            <w:tcW w:w="660" w:type="dxa"/>
          </w:tcPr>
          <w:p w14:paraId="69981B17" w14:textId="77777777" w:rsidR="003D07CA" w:rsidRPr="00637580" w:rsidRDefault="003D07CA" w:rsidP="003E1F68">
            <w:pPr>
              <w:spacing w:before="40" w:after="40"/>
              <w:jc w:val="center"/>
              <w:rPr>
                <w:rFonts w:ascii="Arial" w:hAnsi="Arial" w:cs="Arial"/>
                <w:sz w:val="18"/>
                <w:szCs w:val="18"/>
              </w:rPr>
            </w:pPr>
          </w:p>
        </w:tc>
      </w:tr>
      <w:tr w:rsidR="003D07CA" w:rsidRPr="00637580" w14:paraId="69981B1D" w14:textId="77777777" w:rsidTr="003E1F68">
        <w:tc>
          <w:tcPr>
            <w:tcW w:w="7020" w:type="dxa"/>
          </w:tcPr>
          <w:p w14:paraId="69981B19" w14:textId="77777777" w:rsidR="003D07CA" w:rsidRPr="00637580" w:rsidRDefault="003D07CA" w:rsidP="00525B7F">
            <w:pPr>
              <w:pStyle w:val="Checklist1"/>
              <w:numPr>
                <w:ilvl w:val="0"/>
                <w:numId w:val="90"/>
              </w:numPr>
              <w:spacing w:before="40" w:after="40"/>
              <w:ind w:left="522" w:hanging="522"/>
              <w:rPr>
                <w:rFonts w:ascii="Arial" w:hAnsi="Arial" w:cs="Arial"/>
                <w:bCs/>
                <w:iCs/>
                <w:sz w:val="18"/>
                <w:szCs w:val="18"/>
              </w:rPr>
            </w:pPr>
            <w:r w:rsidRPr="00637580">
              <w:rPr>
                <w:rFonts w:ascii="Arial" w:hAnsi="Arial" w:cs="Arial"/>
                <w:sz w:val="18"/>
                <w:szCs w:val="18"/>
              </w:rPr>
              <w:t>Does the financial institution send a periodic statement for each monthly cycle in which an EFT has occurred? If no EFT occurred, does the financial institution send a periodic statement at least quarterly? (12 CFR 1005.9(b))</w:t>
            </w:r>
          </w:p>
        </w:tc>
        <w:tc>
          <w:tcPr>
            <w:tcW w:w="660" w:type="dxa"/>
            <w:tcBorders>
              <w:bottom w:val="single" w:sz="4" w:space="0" w:color="auto"/>
            </w:tcBorders>
          </w:tcPr>
          <w:p w14:paraId="69981B1A"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B1B"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B1C" w14:textId="77777777" w:rsidR="003D07CA" w:rsidRPr="00637580" w:rsidRDefault="003D07CA" w:rsidP="003E1F68">
            <w:pPr>
              <w:spacing w:before="40" w:after="40"/>
              <w:jc w:val="center"/>
              <w:rPr>
                <w:rFonts w:ascii="Arial" w:hAnsi="Arial" w:cs="Arial"/>
                <w:sz w:val="18"/>
                <w:szCs w:val="18"/>
              </w:rPr>
            </w:pPr>
          </w:p>
        </w:tc>
      </w:tr>
      <w:tr w:rsidR="003D07CA" w:rsidRPr="00637580" w14:paraId="69981B22" w14:textId="77777777" w:rsidTr="003E1F68">
        <w:tc>
          <w:tcPr>
            <w:tcW w:w="7020" w:type="dxa"/>
          </w:tcPr>
          <w:p w14:paraId="69981B1E"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Does the periodic statement contain</w:t>
            </w:r>
            <w:r w:rsidR="003A32E6">
              <w:rPr>
                <w:rFonts w:ascii="Arial" w:hAnsi="Arial" w:cs="Arial"/>
                <w:sz w:val="18"/>
                <w:szCs w:val="18"/>
              </w:rPr>
              <w:t xml:space="preserve"> all of</w:t>
            </w:r>
            <w:r w:rsidRPr="00637580">
              <w:rPr>
                <w:rFonts w:ascii="Arial" w:hAnsi="Arial" w:cs="Arial"/>
                <w:sz w:val="18"/>
                <w:szCs w:val="18"/>
              </w:rPr>
              <w:t xml:space="preserve"> the following information, as applicable:</w:t>
            </w:r>
          </w:p>
        </w:tc>
        <w:tc>
          <w:tcPr>
            <w:tcW w:w="660" w:type="dxa"/>
            <w:shd w:val="clear" w:color="auto" w:fill="D9D9D9" w:themeFill="background1" w:themeFillShade="D9"/>
          </w:tcPr>
          <w:p w14:paraId="69981B1F"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20"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21"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B27" w14:textId="77777777" w:rsidTr="003E1F68">
        <w:tc>
          <w:tcPr>
            <w:tcW w:w="7020" w:type="dxa"/>
          </w:tcPr>
          <w:p w14:paraId="69981B23" w14:textId="77777777" w:rsidR="003D07CA" w:rsidRPr="00637580" w:rsidRDefault="003D07CA" w:rsidP="00525B7F">
            <w:pPr>
              <w:pStyle w:val="Checklist1a"/>
              <w:numPr>
                <w:ilvl w:val="0"/>
                <w:numId w:val="123"/>
              </w:numPr>
              <w:spacing w:before="40" w:after="40"/>
              <w:jc w:val="left"/>
              <w:rPr>
                <w:rFonts w:ascii="Arial" w:hAnsi="Arial" w:cs="Arial"/>
                <w:sz w:val="18"/>
                <w:szCs w:val="18"/>
              </w:rPr>
            </w:pPr>
            <w:r w:rsidRPr="00637580">
              <w:rPr>
                <w:rFonts w:ascii="Arial" w:hAnsi="Arial" w:cs="Arial"/>
                <w:sz w:val="18"/>
                <w:szCs w:val="18"/>
              </w:rPr>
              <w:t xml:space="preserve">Transaction information for each EFT occurring during the cycle, including the </w:t>
            </w:r>
          </w:p>
        </w:tc>
        <w:tc>
          <w:tcPr>
            <w:tcW w:w="660" w:type="dxa"/>
          </w:tcPr>
          <w:p w14:paraId="69981B24" w14:textId="77777777" w:rsidR="003D07CA" w:rsidRPr="00637580" w:rsidRDefault="003D07CA" w:rsidP="003E1F68">
            <w:pPr>
              <w:spacing w:before="40" w:after="40"/>
              <w:jc w:val="center"/>
              <w:rPr>
                <w:rFonts w:ascii="Arial" w:hAnsi="Arial" w:cs="Arial"/>
                <w:sz w:val="18"/>
                <w:szCs w:val="18"/>
              </w:rPr>
            </w:pPr>
          </w:p>
        </w:tc>
        <w:tc>
          <w:tcPr>
            <w:tcW w:w="660" w:type="dxa"/>
          </w:tcPr>
          <w:p w14:paraId="69981B25" w14:textId="77777777" w:rsidR="003D07CA" w:rsidRPr="00637580" w:rsidRDefault="003D07CA" w:rsidP="003E1F68">
            <w:pPr>
              <w:spacing w:before="40" w:after="40"/>
              <w:jc w:val="center"/>
              <w:rPr>
                <w:rFonts w:ascii="Arial" w:hAnsi="Arial" w:cs="Arial"/>
                <w:sz w:val="18"/>
                <w:szCs w:val="18"/>
              </w:rPr>
            </w:pPr>
          </w:p>
        </w:tc>
        <w:tc>
          <w:tcPr>
            <w:tcW w:w="660" w:type="dxa"/>
          </w:tcPr>
          <w:p w14:paraId="69981B26" w14:textId="77777777" w:rsidR="003D07CA" w:rsidRPr="00637580" w:rsidRDefault="003D07CA" w:rsidP="003E1F68">
            <w:pPr>
              <w:spacing w:before="40" w:after="40"/>
              <w:jc w:val="center"/>
              <w:rPr>
                <w:rFonts w:ascii="Arial" w:hAnsi="Arial" w:cs="Arial"/>
                <w:sz w:val="18"/>
                <w:szCs w:val="18"/>
              </w:rPr>
            </w:pPr>
          </w:p>
        </w:tc>
      </w:tr>
      <w:tr w:rsidR="003D07CA" w:rsidRPr="00637580" w14:paraId="69981B2C" w14:textId="77777777" w:rsidTr="003E1F68">
        <w:tc>
          <w:tcPr>
            <w:tcW w:w="7020" w:type="dxa"/>
          </w:tcPr>
          <w:p w14:paraId="69981B28" w14:textId="77777777" w:rsidR="003D07CA" w:rsidRPr="00637580" w:rsidRDefault="003D07CA" w:rsidP="00525B7F">
            <w:pPr>
              <w:pStyle w:val="Checklist1a"/>
              <w:numPr>
                <w:ilvl w:val="1"/>
                <w:numId w:val="91"/>
              </w:numPr>
              <w:tabs>
                <w:tab w:val="clear" w:pos="720"/>
                <w:tab w:val="num" w:pos="1242"/>
              </w:tabs>
              <w:spacing w:before="40" w:after="40"/>
              <w:ind w:left="1242"/>
              <w:jc w:val="left"/>
              <w:rPr>
                <w:rFonts w:ascii="Arial" w:hAnsi="Arial" w:cs="Arial"/>
                <w:sz w:val="18"/>
                <w:szCs w:val="18"/>
              </w:rPr>
            </w:pPr>
            <w:r w:rsidRPr="00637580">
              <w:rPr>
                <w:rFonts w:ascii="Arial" w:hAnsi="Arial" w:cs="Arial"/>
                <w:sz w:val="18"/>
                <w:szCs w:val="18"/>
              </w:rPr>
              <w:t>amount of</w:t>
            </w:r>
            <w:r w:rsidR="003A79D1">
              <w:rPr>
                <w:rFonts w:ascii="Arial" w:hAnsi="Arial" w:cs="Arial"/>
                <w:sz w:val="18"/>
                <w:szCs w:val="18"/>
              </w:rPr>
              <w:t xml:space="preserve"> transfer; (12 CFR 1005.9(b)(1)</w:t>
            </w:r>
            <w:r w:rsidRPr="00637580">
              <w:rPr>
                <w:rFonts w:ascii="Arial" w:hAnsi="Arial" w:cs="Arial"/>
                <w:sz w:val="18"/>
                <w:szCs w:val="18"/>
              </w:rPr>
              <w:t>(i))</w:t>
            </w:r>
          </w:p>
        </w:tc>
        <w:tc>
          <w:tcPr>
            <w:tcW w:w="660" w:type="dxa"/>
          </w:tcPr>
          <w:p w14:paraId="69981B29" w14:textId="77777777" w:rsidR="003D07CA" w:rsidRPr="00637580" w:rsidRDefault="003D07CA" w:rsidP="003E1F68">
            <w:pPr>
              <w:spacing w:before="40" w:after="40"/>
              <w:jc w:val="center"/>
              <w:rPr>
                <w:rFonts w:ascii="Arial" w:hAnsi="Arial" w:cs="Arial"/>
                <w:sz w:val="18"/>
                <w:szCs w:val="18"/>
              </w:rPr>
            </w:pPr>
          </w:p>
        </w:tc>
        <w:tc>
          <w:tcPr>
            <w:tcW w:w="660" w:type="dxa"/>
          </w:tcPr>
          <w:p w14:paraId="69981B2A" w14:textId="77777777" w:rsidR="003D07CA" w:rsidRPr="00637580" w:rsidRDefault="003D07CA" w:rsidP="003E1F68">
            <w:pPr>
              <w:spacing w:before="40" w:after="40"/>
              <w:jc w:val="center"/>
              <w:rPr>
                <w:rFonts w:ascii="Arial" w:hAnsi="Arial" w:cs="Arial"/>
                <w:sz w:val="18"/>
                <w:szCs w:val="18"/>
              </w:rPr>
            </w:pPr>
          </w:p>
        </w:tc>
        <w:tc>
          <w:tcPr>
            <w:tcW w:w="660" w:type="dxa"/>
          </w:tcPr>
          <w:p w14:paraId="69981B2B" w14:textId="77777777" w:rsidR="003D07CA" w:rsidRPr="00637580" w:rsidRDefault="003D07CA" w:rsidP="003E1F68">
            <w:pPr>
              <w:spacing w:before="40" w:after="40"/>
              <w:jc w:val="center"/>
              <w:rPr>
                <w:rFonts w:ascii="Arial" w:hAnsi="Arial" w:cs="Arial"/>
                <w:sz w:val="18"/>
                <w:szCs w:val="18"/>
              </w:rPr>
            </w:pPr>
          </w:p>
        </w:tc>
      </w:tr>
      <w:tr w:rsidR="003D07CA" w:rsidRPr="00637580" w14:paraId="69981B31" w14:textId="77777777" w:rsidTr="003E1F68">
        <w:tc>
          <w:tcPr>
            <w:tcW w:w="7020" w:type="dxa"/>
          </w:tcPr>
          <w:p w14:paraId="69981B2D" w14:textId="77777777" w:rsidR="003D07CA" w:rsidRPr="00637580" w:rsidRDefault="003D07CA" w:rsidP="00525B7F">
            <w:pPr>
              <w:pStyle w:val="Checklist1a"/>
              <w:numPr>
                <w:ilvl w:val="1"/>
                <w:numId w:val="91"/>
              </w:numPr>
              <w:tabs>
                <w:tab w:val="clear" w:pos="720"/>
                <w:tab w:val="num" w:pos="1242"/>
              </w:tabs>
              <w:spacing w:before="40" w:after="40"/>
              <w:ind w:left="1242"/>
              <w:jc w:val="left"/>
              <w:rPr>
                <w:rFonts w:ascii="Arial" w:hAnsi="Arial" w:cs="Arial"/>
                <w:sz w:val="18"/>
                <w:szCs w:val="18"/>
              </w:rPr>
            </w:pPr>
            <w:r w:rsidRPr="00637580">
              <w:rPr>
                <w:rFonts w:ascii="Arial" w:hAnsi="Arial" w:cs="Arial"/>
                <w:sz w:val="18"/>
                <w:szCs w:val="18"/>
              </w:rPr>
              <w:t>date of</w:t>
            </w:r>
            <w:r w:rsidR="003A79D1">
              <w:rPr>
                <w:rFonts w:ascii="Arial" w:hAnsi="Arial" w:cs="Arial"/>
                <w:sz w:val="18"/>
                <w:szCs w:val="18"/>
              </w:rPr>
              <w:t xml:space="preserve"> transfer; (12 CFR 1005.9(b)(1)</w:t>
            </w:r>
            <w:r w:rsidRPr="00637580">
              <w:rPr>
                <w:rFonts w:ascii="Arial" w:hAnsi="Arial" w:cs="Arial"/>
                <w:sz w:val="18"/>
                <w:szCs w:val="18"/>
              </w:rPr>
              <w:t>(ii))</w:t>
            </w:r>
          </w:p>
        </w:tc>
        <w:tc>
          <w:tcPr>
            <w:tcW w:w="660" w:type="dxa"/>
          </w:tcPr>
          <w:p w14:paraId="69981B2E" w14:textId="77777777" w:rsidR="003D07CA" w:rsidRPr="00637580" w:rsidRDefault="003D07CA" w:rsidP="003E1F68">
            <w:pPr>
              <w:spacing w:before="40" w:after="40"/>
              <w:jc w:val="center"/>
              <w:rPr>
                <w:rFonts w:ascii="Arial" w:hAnsi="Arial" w:cs="Arial"/>
                <w:sz w:val="18"/>
                <w:szCs w:val="18"/>
              </w:rPr>
            </w:pPr>
          </w:p>
        </w:tc>
        <w:tc>
          <w:tcPr>
            <w:tcW w:w="660" w:type="dxa"/>
          </w:tcPr>
          <w:p w14:paraId="69981B2F" w14:textId="77777777" w:rsidR="003D07CA" w:rsidRPr="00637580" w:rsidRDefault="003D07CA" w:rsidP="003E1F68">
            <w:pPr>
              <w:spacing w:before="40" w:after="40"/>
              <w:jc w:val="center"/>
              <w:rPr>
                <w:rFonts w:ascii="Arial" w:hAnsi="Arial" w:cs="Arial"/>
                <w:sz w:val="18"/>
                <w:szCs w:val="18"/>
              </w:rPr>
            </w:pPr>
          </w:p>
        </w:tc>
        <w:tc>
          <w:tcPr>
            <w:tcW w:w="660" w:type="dxa"/>
          </w:tcPr>
          <w:p w14:paraId="69981B30" w14:textId="77777777" w:rsidR="003D07CA" w:rsidRPr="00637580" w:rsidRDefault="003D07CA" w:rsidP="003E1F68">
            <w:pPr>
              <w:spacing w:before="40" w:after="40"/>
              <w:jc w:val="center"/>
              <w:rPr>
                <w:rFonts w:ascii="Arial" w:hAnsi="Arial" w:cs="Arial"/>
                <w:sz w:val="18"/>
                <w:szCs w:val="18"/>
              </w:rPr>
            </w:pPr>
          </w:p>
        </w:tc>
      </w:tr>
      <w:tr w:rsidR="003D07CA" w:rsidRPr="00637580" w14:paraId="69981B36" w14:textId="77777777" w:rsidTr="003E1F68">
        <w:tc>
          <w:tcPr>
            <w:tcW w:w="7020" w:type="dxa"/>
          </w:tcPr>
          <w:p w14:paraId="69981B32" w14:textId="77777777" w:rsidR="003D07CA" w:rsidRPr="00637580" w:rsidRDefault="003D07CA" w:rsidP="00525B7F">
            <w:pPr>
              <w:pStyle w:val="Checklist1a"/>
              <w:numPr>
                <w:ilvl w:val="1"/>
                <w:numId w:val="91"/>
              </w:numPr>
              <w:tabs>
                <w:tab w:val="clear" w:pos="720"/>
                <w:tab w:val="num" w:pos="1242"/>
              </w:tabs>
              <w:spacing w:before="40" w:after="40"/>
              <w:ind w:left="1242"/>
              <w:jc w:val="left"/>
              <w:rPr>
                <w:rFonts w:ascii="Arial" w:hAnsi="Arial" w:cs="Arial"/>
                <w:sz w:val="18"/>
                <w:szCs w:val="18"/>
              </w:rPr>
            </w:pPr>
            <w:r w:rsidRPr="00637580">
              <w:rPr>
                <w:rFonts w:ascii="Arial" w:hAnsi="Arial" w:cs="Arial"/>
                <w:sz w:val="18"/>
                <w:szCs w:val="18"/>
              </w:rPr>
              <w:t>type of</w:t>
            </w:r>
            <w:r w:rsidR="003A79D1">
              <w:rPr>
                <w:rFonts w:ascii="Arial" w:hAnsi="Arial" w:cs="Arial"/>
                <w:sz w:val="18"/>
                <w:szCs w:val="18"/>
              </w:rPr>
              <w:t xml:space="preserve"> transfer; (12 CFR 1005.9(b)(1)</w:t>
            </w:r>
            <w:r w:rsidRPr="00637580">
              <w:rPr>
                <w:rFonts w:ascii="Arial" w:hAnsi="Arial" w:cs="Arial"/>
                <w:sz w:val="18"/>
                <w:szCs w:val="18"/>
              </w:rPr>
              <w:t>(iii))</w:t>
            </w:r>
          </w:p>
        </w:tc>
        <w:tc>
          <w:tcPr>
            <w:tcW w:w="660" w:type="dxa"/>
          </w:tcPr>
          <w:p w14:paraId="69981B33" w14:textId="77777777" w:rsidR="003D07CA" w:rsidRPr="00637580" w:rsidRDefault="003D07CA" w:rsidP="003E1F68">
            <w:pPr>
              <w:spacing w:before="40" w:after="40"/>
              <w:jc w:val="center"/>
              <w:rPr>
                <w:rFonts w:ascii="Arial" w:hAnsi="Arial" w:cs="Arial"/>
                <w:sz w:val="18"/>
                <w:szCs w:val="18"/>
              </w:rPr>
            </w:pPr>
          </w:p>
        </w:tc>
        <w:tc>
          <w:tcPr>
            <w:tcW w:w="660" w:type="dxa"/>
          </w:tcPr>
          <w:p w14:paraId="69981B34" w14:textId="77777777" w:rsidR="003D07CA" w:rsidRPr="00637580" w:rsidRDefault="003D07CA" w:rsidP="003E1F68">
            <w:pPr>
              <w:spacing w:before="40" w:after="40"/>
              <w:jc w:val="center"/>
              <w:rPr>
                <w:rFonts w:ascii="Arial" w:hAnsi="Arial" w:cs="Arial"/>
                <w:sz w:val="18"/>
                <w:szCs w:val="18"/>
              </w:rPr>
            </w:pPr>
          </w:p>
        </w:tc>
        <w:tc>
          <w:tcPr>
            <w:tcW w:w="660" w:type="dxa"/>
          </w:tcPr>
          <w:p w14:paraId="69981B35" w14:textId="77777777" w:rsidR="003D07CA" w:rsidRPr="00637580" w:rsidRDefault="003D07CA" w:rsidP="003E1F68">
            <w:pPr>
              <w:spacing w:before="40" w:after="40"/>
              <w:jc w:val="center"/>
              <w:rPr>
                <w:rFonts w:ascii="Arial" w:hAnsi="Arial" w:cs="Arial"/>
                <w:sz w:val="18"/>
                <w:szCs w:val="18"/>
              </w:rPr>
            </w:pPr>
          </w:p>
        </w:tc>
      </w:tr>
      <w:tr w:rsidR="003D07CA" w:rsidRPr="00637580" w14:paraId="69981B3B" w14:textId="77777777" w:rsidTr="003E1F68">
        <w:tc>
          <w:tcPr>
            <w:tcW w:w="7020" w:type="dxa"/>
          </w:tcPr>
          <w:p w14:paraId="69981B37" w14:textId="77777777" w:rsidR="003D07CA" w:rsidRPr="00637580" w:rsidRDefault="003D07CA" w:rsidP="00525B7F">
            <w:pPr>
              <w:pStyle w:val="Checklist1a"/>
              <w:numPr>
                <w:ilvl w:val="1"/>
                <w:numId w:val="91"/>
              </w:numPr>
              <w:tabs>
                <w:tab w:val="clear" w:pos="720"/>
                <w:tab w:val="num" w:pos="1242"/>
              </w:tabs>
              <w:spacing w:before="40" w:after="40"/>
              <w:ind w:left="1242"/>
              <w:jc w:val="left"/>
              <w:rPr>
                <w:rFonts w:ascii="Arial" w:hAnsi="Arial" w:cs="Arial"/>
                <w:b/>
                <w:bCs/>
                <w:color w:val="000000"/>
                <w:sz w:val="18"/>
                <w:szCs w:val="18"/>
              </w:rPr>
            </w:pPr>
            <w:r w:rsidRPr="00637580">
              <w:rPr>
                <w:rFonts w:ascii="Arial" w:hAnsi="Arial" w:cs="Arial"/>
                <w:sz w:val="18"/>
                <w:szCs w:val="18"/>
              </w:rPr>
              <w:t>terminal loc</w:t>
            </w:r>
            <w:r w:rsidR="003A79D1">
              <w:rPr>
                <w:rFonts w:ascii="Arial" w:hAnsi="Arial" w:cs="Arial"/>
                <w:sz w:val="18"/>
                <w:szCs w:val="18"/>
              </w:rPr>
              <w:t>ation; and (12 CFR 1005.9(b)(1)</w:t>
            </w:r>
            <w:r w:rsidRPr="00637580">
              <w:rPr>
                <w:rFonts w:ascii="Arial" w:hAnsi="Arial" w:cs="Arial"/>
                <w:sz w:val="18"/>
                <w:szCs w:val="18"/>
              </w:rPr>
              <w:t>(iv))</w:t>
            </w:r>
          </w:p>
        </w:tc>
        <w:tc>
          <w:tcPr>
            <w:tcW w:w="660" w:type="dxa"/>
          </w:tcPr>
          <w:p w14:paraId="69981B38" w14:textId="77777777" w:rsidR="003D07CA" w:rsidRPr="00637580" w:rsidRDefault="003D07CA" w:rsidP="003E1F68">
            <w:pPr>
              <w:spacing w:before="40" w:after="40"/>
              <w:jc w:val="center"/>
              <w:rPr>
                <w:rFonts w:ascii="Arial" w:hAnsi="Arial" w:cs="Arial"/>
                <w:sz w:val="18"/>
                <w:szCs w:val="18"/>
              </w:rPr>
            </w:pPr>
          </w:p>
        </w:tc>
        <w:tc>
          <w:tcPr>
            <w:tcW w:w="660" w:type="dxa"/>
          </w:tcPr>
          <w:p w14:paraId="69981B39" w14:textId="77777777" w:rsidR="003D07CA" w:rsidRPr="00637580" w:rsidRDefault="003D07CA" w:rsidP="003E1F68">
            <w:pPr>
              <w:spacing w:before="40" w:after="40"/>
              <w:jc w:val="center"/>
              <w:rPr>
                <w:rFonts w:ascii="Arial" w:hAnsi="Arial" w:cs="Arial"/>
                <w:sz w:val="18"/>
                <w:szCs w:val="18"/>
              </w:rPr>
            </w:pPr>
          </w:p>
        </w:tc>
        <w:tc>
          <w:tcPr>
            <w:tcW w:w="660" w:type="dxa"/>
          </w:tcPr>
          <w:p w14:paraId="69981B3A" w14:textId="77777777" w:rsidR="003D07CA" w:rsidRPr="00637580" w:rsidRDefault="003D07CA" w:rsidP="003E1F68">
            <w:pPr>
              <w:spacing w:before="40" w:after="40"/>
              <w:jc w:val="center"/>
              <w:rPr>
                <w:rFonts w:ascii="Arial" w:hAnsi="Arial" w:cs="Arial"/>
                <w:sz w:val="18"/>
                <w:szCs w:val="18"/>
              </w:rPr>
            </w:pPr>
          </w:p>
        </w:tc>
      </w:tr>
      <w:tr w:rsidR="003D07CA" w:rsidRPr="00637580" w14:paraId="69981B40" w14:textId="77777777" w:rsidTr="003E1F68">
        <w:tc>
          <w:tcPr>
            <w:tcW w:w="7020" w:type="dxa"/>
          </w:tcPr>
          <w:p w14:paraId="69981B3C" w14:textId="77777777" w:rsidR="003D07CA" w:rsidRPr="007C7C6F" w:rsidRDefault="003D07CA" w:rsidP="00525B7F">
            <w:pPr>
              <w:pStyle w:val="Checklist1a"/>
              <w:numPr>
                <w:ilvl w:val="1"/>
                <w:numId w:val="91"/>
              </w:numPr>
              <w:tabs>
                <w:tab w:val="clear" w:pos="720"/>
                <w:tab w:val="num" w:pos="1242"/>
              </w:tabs>
              <w:spacing w:before="40" w:after="40"/>
              <w:ind w:left="1242"/>
              <w:jc w:val="left"/>
              <w:rPr>
                <w:rFonts w:ascii="Arial" w:hAnsi="Arial" w:cs="Arial"/>
                <w:sz w:val="18"/>
                <w:szCs w:val="18"/>
              </w:rPr>
            </w:pPr>
            <w:r w:rsidRPr="00637580">
              <w:rPr>
                <w:rFonts w:ascii="Arial" w:hAnsi="Arial" w:cs="Arial"/>
                <w:sz w:val="18"/>
                <w:szCs w:val="18"/>
              </w:rPr>
              <w:t>name of any third</w:t>
            </w:r>
            <w:r w:rsidR="00E472A5">
              <w:rPr>
                <w:rFonts w:ascii="Arial" w:hAnsi="Arial" w:cs="Arial"/>
                <w:sz w:val="18"/>
                <w:szCs w:val="18"/>
              </w:rPr>
              <w:t>-</w:t>
            </w:r>
            <w:r w:rsidRPr="00637580">
              <w:rPr>
                <w:rFonts w:ascii="Arial" w:hAnsi="Arial" w:cs="Arial"/>
                <w:sz w:val="18"/>
                <w:szCs w:val="18"/>
              </w:rPr>
              <w:t>party transferor or transferee?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003A79D1">
              <w:rPr>
                <w:rFonts w:ascii="Arial" w:hAnsi="Arial" w:cs="Arial"/>
                <w:sz w:val="18"/>
                <w:szCs w:val="18"/>
              </w:rPr>
              <w:t>1005.9(b)(1)</w:t>
            </w:r>
            <w:r w:rsidRPr="007C7C6F">
              <w:rPr>
                <w:rFonts w:ascii="Arial" w:hAnsi="Arial" w:cs="Arial"/>
                <w:sz w:val="18"/>
                <w:szCs w:val="18"/>
              </w:rPr>
              <w:t>(v))</w:t>
            </w:r>
          </w:p>
        </w:tc>
        <w:tc>
          <w:tcPr>
            <w:tcW w:w="660" w:type="dxa"/>
          </w:tcPr>
          <w:p w14:paraId="69981B3D" w14:textId="77777777" w:rsidR="003D07CA" w:rsidRPr="007C7C6F" w:rsidRDefault="003D07CA" w:rsidP="003E1F68">
            <w:pPr>
              <w:spacing w:before="40" w:after="40"/>
              <w:jc w:val="center"/>
              <w:rPr>
                <w:rFonts w:ascii="Arial" w:hAnsi="Arial" w:cs="Arial"/>
                <w:sz w:val="18"/>
                <w:szCs w:val="18"/>
              </w:rPr>
            </w:pPr>
          </w:p>
        </w:tc>
        <w:tc>
          <w:tcPr>
            <w:tcW w:w="660" w:type="dxa"/>
          </w:tcPr>
          <w:p w14:paraId="69981B3E" w14:textId="77777777" w:rsidR="003D07CA" w:rsidRPr="007C7C6F" w:rsidRDefault="003D07CA" w:rsidP="003E1F68">
            <w:pPr>
              <w:spacing w:before="40" w:after="40"/>
              <w:jc w:val="center"/>
              <w:rPr>
                <w:rFonts w:ascii="Arial" w:hAnsi="Arial" w:cs="Arial"/>
                <w:sz w:val="18"/>
                <w:szCs w:val="18"/>
              </w:rPr>
            </w:pPr>
          </w:p>
        </w:tc>
        <w:tc>
          <w:tcPr>
            <w:tcW w:w="660" w:type="dxa"/>
          </w:tcPr>
          <w:p w14:paraId="69981B3F" w14:textId="77777777" w:rsidR="003D07CA" w:rsidRPr="00637580" w:rsidRDefault="003D07CA" w:rsidP="003E1F68">
            <w:pPr>
              <w:spacing w:before="40" w:after="40"/>
              <w:jc w:val="center"/>
              <w:rPr>
                <w:rFonts w:ascii="Arial" w:hAnsi="Arial" w:cs="Arial"/>
                <w:sz w:val="18"/>
                <w:szCs w:val="18"/>
              </w:rPr>
            </w:pPr>
          </w:p>
        </w:tc>
      </w:tr>
      <w:tr w:rsidR="003D07CA" w:rsidRPr="00637580" w14:paraId="69981B45" w14:textId="77777777" w:rsidTr="003E1F68">
        <w:tc>
          <w:tcPr>
            <w:tcW w:w="7020" w:type="dxa"/>
          </w:tcPr>
          <w:p w14:paraId="69981B41" w14:textId="77777777" w:rsidR="003D07CA" w:rsidRPr="00637580" w:rsidRDefault="003D07CA" w:rsidP="00525B7F">
            <w:pPr>
              <w:pStyle w:val="Checklist1a"/>
              <w:numPr>
                <w:ilvl w:val="0"/>
                <w:numId w:val="123"/>
              </w:numPr>
              <w:spacing w:before="40" w:after="40"/>
              <w:jc w:val="left"/>
              <w:rPr>
                <w:rFonts w:ascii="Arial" w:hAnsi="Arial" w:cs="Arial"/>
                <w:sz w:val="18"/>
                <w:szCs w:val="18"/>
              </w:rPr>
            </w:pPr>
            <w:r w:rsidRPr="00637580">
              <w:rPr>
                <w:rFonts w:ascii="Arial" w:hAnsi="Arial" w:cs="Arial"/>
                <w:sz w:val="18"/>
                <w:szCs w:val="18"/>
              </w:rPr>
              <w:t>Account number? (12 CFR 1005.9(b)(2))</w:t>
            </w:r>
          </w:p>
        </w:tc>
        <w:tc>
          <w:tcPr>
            <w:tcW w:w="660" w:type="dxa"/>
          </w:tcPr>
          <w:p w14:paraId="69981B42" w14:textId="77777777" w:rsidR="003D07CA" w:rsidRPr="00637580" w:rsidRDefault="003D07CA" w:rsidP="003E1F68">
            <w:pPr>
              <w:spacing w:before="40" w:after="40"/>
              <w:jc w:val="center"/>
              <w:rPr>
                <w:rFonts w:ascii="Arial" w:hAnsi="Arial" w:cs="Arial"/>
                <w:sz w:val="18"/>
                <w:szCs w:val="18"/>
              </w:rPr>
            </w:pPr>
          </w:p>
        </w:tc>
        <w:tc>
          <w:tcPr>
            <w:tcW w:w="660" w:type="dxa"/>
          </w:tcPr>
          <w:p w14:paraId="69981B43" w14:textId="77777777" w:rsidR="003D07CA" w:rsidRPr="00637580" w:rsidRDefault="003D07CA" w:rsidP="003E1F68">
            <w:pPr>
              <w:spacing w:before="40" w:after="40"/>
              <w:jc w:val="center"/>
              <w:rPr>
                <w:rFonts w:ascii="Arial" w:hAnsi="Arial" w:cs="Arial"/>
                <w:sz w:val="18"/>
                <w:szCs w:val="18"/>
              </w:rPr>
            </w:pPr>
          </w:p>
        </w:tc>
        <w:tc>
          <w:tcPr>
            <w:tcW w:w="660" w:type="dxa"/>
          </w:tcPr>
          <w:p w14:paraId="69981B44" w14:textId="77777777" w:rsidR="003D07CA" w:rsidRPr="00637580" w:rsidRDefault="003D07CA" w:rsidP="003E1F68">
            <w:pPr>
              <w:spacing w:before="40" w:after="40"/>
              <w:jc w:val="center"/>
              <w:rPr>
                <w:rFonts w:ascii="Arial" w:hAnsi="Arial" w:cs="Arial"/>
                <w:sz w:val="18"/>
                <w:szCs w:val="18"/>
              </w:rPr>
            </w:pPr>
          </w:p>
        </w:tc>
      </w:tr>
      <w:tr w:rsidR="003D07CA" w:rsidRPr="00637580" w14:paraId="69981B4A" w14:textId="77777777" w:rsidTr="003E1F68">
        <w:tc>
          <w:tcPr>
            <w:tcW w:w="7020" w:type="dxa"/>
          </w:tcPr>
          <w:p w14:paraId="69981B46" w14:textId="77777777" w:rsidR="003D07CA" w:rsidRPr="00637580" w:rsidRDefault="003D07CA" w:rsidP="00525B7F">
            <w:pPr>
              <w:pStyle w:val="Checklist1a"/>
              <w:numPr>
                <w:ilvl w:val="0"/>
                <w:numId w:val="123"/>
              </w:numPr>
              <w:spacing w:before="40" w:after="40"/>
              <w:jc w:val="left"/>
              <w:rPr>
                <w:rFonts w:ascii="Arial" w:hAnsi="Arial" w:cs="Arial"/>
                <w:sz w:val="18"/>
                <w:szCs w:val="18"/>
              </w:rPr>
            </w:pPr>
            <w:r w:rsidRPr="00637580">
              <w:rPr>
                <w:rFonts w:ascii="Arial" w:hAnsi="Arial" w:cs="Arial"/>
                <w:sz w:val="18"/>
                <w:szCs w:val="18"/>
              </w:rPr>
              <w:t>Fees? (12 CFR 1005.9(b)(3))</w:t>
            </w:r>
          </w:p>
        </w:tc>
        <w:tc>
          <w:tcPr>
            <w:tcW w:w="660" w:type="dxa"/>
          </w:tcPr>
          <w:p w14:paraId="69981B47" w14:textId="77777777" w:rsidR="003D07CA" w:rsidRPr="00637580" w:rsidRDefault="003D07CA" w:rsidP="003E1F68">
            <w:pPr>
              <w:spacing w:before="40" w:after="40"/>
              <w:jc w:val="center"/>
              <w:rPr>
                <w:rFonts w:ascii="Arial" w:hAnsi="Arial" w:cs="Arial"/>
                <w:sz w:val="18"/>
                <w:szCs w:val="18"/>
              </w:rPr>
            </w:pPr>
          </w:p>
        </w:tc>
        <w:tc>
          <w:tcPr>
            <w:tcW w:w="660" w:type="dxa"/>
          </w:tcPr>
          <w:p w14:paraId="69981B48" w14:textId="77777777" w:rsidR="003D07CA" w:rsidRPr="00637580" w:rsidRDefault="003D07CA" w:rsidP="003E1F68">
            <w:pPr>
              <w:spacing w:before="40" w:after="40"/>
              <w:jc w:val="center"/>
              <w:rPr>
                <w:rFonts w:ascii="Arial" w:hAnsi="Arial" w:cs="Arial"/>
                <w:sz w:val="18"/>
                <w:szCs w:val="18"/>
              </w:rPr>
            </w:pPr>
          </w:p>
        </w:tc>
        <w:tc>
          <w:tcPr>
            <w:tcW w:w="660" w:type="dxa"/>
          </w:tcPr>
          <w:p w14:paraId="69981B49" w14:textId="77777777" w:rsidR="003D07CA" w:rsidRPr="00637580" w:rsidRDefault="003D07CA" w:rsidP="003E1F68">
            <w:pPr>
              <w:spacing w:before="40" w:after="40"/>
              <w:jc w:val="center"/>
              <w:rPr>
                <w:rFonts w:ascii="Arial" w:hAnsi="Arial" w:cs="Arial"/>
                <w:sz w:val="18"/>
                <w:szCs w:val="18"/>
              </w:rPr>
            </w:pPr>
          </w:p>
        </w:tc>
      </w:tr>
      <w:tr w:rsidR="003D07CA" w:rsidRPr="00637580" w14:paraId="69981B4F" w14:textId="77777777" w:rsidTr="003E1F68">
        <w:tc>
          <w:tcPr>
            <w:tcW w:w="7020" w:type="dxa"/>
          </w:tcPr>
          <w:p w14:paraId="69981B4B" w14:textId="77777777" w:rsidR="003D07CA" w:rsidRPr="00637580" w:rsidRDefault="003D07CA" w:rsidP="00525B7F">
            <w:pPr>
              <w:pStyle w:val="Checklist1a"/>
              <w:numPr>
                <w:ilvl w:val="0"/>
                <w:numId w:val="123"/>
              </w:numPr>
              <w:spacing w:before="40" w:after="40"/>
              <w:jc w:val="left"/>
              <w:rPr>
                <w:rFonts w:ascii="Arial" w:hAnsi="Arial" w:cs="Arial"/>
                <w:sz w:val="18"/>
                <w:szCs w:val="18"/>
              </w:rPr>
            </w:pPr>
            <w:r w:rsidRPr="00637580">
              <w:rPr>
                <w:rFonts w:ascii="Arial" w:hAnsi="Arial" w:cs="Arial"/>
                <w:sz w:val="18"/>
                <w:szCs w:val="18"/>
              </w:rPr>
              <w:t>Account balances? (12 CFR 1005.9(b)(4))</w:t>
            </w:r>
          </w:p>
        </w:tc>
        <w:tc>
          <w:tcPr>
            <w:tcW w:w="660" w:type="dxa"/>
          </w:tcPr>
          <w:p w14:paraId="69981B4C" w14:textId="77777777" w:rsidR="003D07CA" w:rsidRPr="00637580" w:rsidRDefault="003D07CA" w:rsidP="003E1F68">
            <w:pPr>
              <w:spacing w:before="40" w:after="40"/>
              <w:jc w:val="center"/>
              <w:rPr>
                <w:rFonts w:ascii="Arial" w:hAnsi="Arial" w:cs="Arial"/>
                <w:sz w:val="18"/>
                <w:szCs w:val="18"/>
              </w:rPr>
            </w:pPr>
          </w:p>
        </w:tc>
        <w:tc>
          <w:tcPr>
            <w:tcW w:w="660" w:type="dxa"/>
          </w:tcPr>
          <w:p w14:paraId="69981B4D" w14:textId="77777777" w:rsidR="003D07CA" w:rsidRPr="00637580" w:rsidRDefault="003D07CA" w:rsidP="003E1F68">
            <w:pPr>
              <w:spacing w:before="40" w:after="40"/>
              <w:jc w:val="center"/>
              <w:rPr>
                <w:rFonts w:ascii="Arial" w:hAnsi="Arial" w:cs="Arial"/>
                <w:sz w:val="18"/>
                <w:szCs w:val="18"/>
              </w:rPr>
            </w:pPr>
          </w:p>
        </w:tc>
        <w:tc>
          <w:tcPr>
            <w:tcW w:w="660" w:type="dxa"/>
          </w:tcPr>
          <w:p w14:paraId="69981B4E" w14:textId="77777777" w:rsidR="003D07CA" w:rsidRPr="00637580" w:rsidRDefault="003D07CA" w:rsidP="003E1F68">
            <w:pPr>
              <w:spacing w:before="40" w:after="40"/>
              <w:jc w:val="center"/>
              <w:rPr>
                <w:rFonts w:ascii="Arial" w:hAnsi="Arial" w:cs="Arial"/>
                <w:sz w:val="18"/>
                <w:szCs w:val="18"/>
              </w:rPr>
            </w:pPr>
          </w:p>
        </w:tc>
      </w:tr>
      <w:tr w:rsidR="003D07CA" w:rsidRPr="00637580" w14:paraId="69981B54" w14:textId="77777777" w:rsidTr="003E1F68">
        <w:tc>
          <w:tcPr>
            <w:tcW w:w="7020" w:type="dxa"/>
          </w:tcPr>
          <w:p w14:paraId="69981B50" w14:textId="77777777" w:rsidR="003D07CA" w:rsidRPr="00637580" w:rsidRDefault="003D07CA" w:rsidP="00525B7F">
            <w:pPr>
              <w:pStyle w:val="Checklist1a"/>
              <w:numPr>
                <w:ilvl w:val="0"/>
                <w:numId w:val="123"/>
              </w:numPr>
              <w:spacing w:before="40" w:after="40"/>
              <w:jc w:val="left"/>
              <w:rPr>
                <w:rFonts w:ascii="Arial" w:hAnsi="Arial" w:cs="Arial"/>
                <w:sz w:val="18"/>
                <w:szCs w:val="18"/>
              </w:rPr>
            </w:pPr>
            <w:r w:rsidRPr="00637580">
              <w:rPr>
                <w:rFonts w:ascii="Arial" w:hAnsi="Arial" w:cs="Arial"/>
                <w:sz w:val="18"/>
                <w:szCs w:val="18"/>
              </w:rPr>
              <w:t>Address and telephone number for inquiries? (12 CFR 1005.9(b)(5))</w:t>
            </w:r>
          </w:p>
        </w:tc>
        <w:tc>
          <w:tcPr>
            <w:tcW w:w="660" w:type="dxa"/>
          </w:tcPr>
          <w:p w14:paraId="69981B51" w14:textId="77777777" w:rsidR="003D07CA" w:rsidRPr="00637580" w:rsidRDefault="003D07CA" w:rsidP="003E1F68">
            <w:pPr>
              <w:spacing w:before="40" w:after="40"/>
              <w:jc w:val="center"/>
              <w:rPr>
                <w:rFonts w:ascii="Arial" w:hAnsi="Arial" w:cs="Arial"/>
                <w:sz w:val="18"/>
                <w:szCs w:val="18"/>
              </w:rPr>
            </w:pPr>
          </w:p>
        </w:tc>
        <w:tc>
          <w:tcPr>
            <w:tcW w:w="660" w:type="dxa"/>
          </w:tcPr>
          <w:p w14:paraId="69981B52" w14:textId="77777777" w:rsidR="003D07CA" w:rsidRPr="00637580" w:rsidRDefault="003D07CA" w:rsidP="003E1F68">
            <w:pPr>
              <w:spacing w:before="40" w:after="40"/>
              <w:jc w:val="center"/>
              <w:rPr>
                <w:rFonts w:ascii="Arial" w:hAnsi="Arial" w:cs="Arial"/>
                <w:sz w:val="18"/>
                <w:szCs w:val="18"/>
              </w:rPr>
            </w:pPr>
          </w:p>
        </w:tc>
        <w:tc>
          <w:tcPr>
            <w:tcW w:w="660" w:type="dxa"/>
          </w:tcPr>
          <w:p w14:paraId="69981B53" w14:textId="77777777" w:rsidR="003D07CA" w:rsidRPr="00637580" w:rsidRDefault="003D07CA" w:rsidP="003E1F68">
            <w:pPr>
              <w:spacing w:before="40" w:after="40"/>
              <w:jc w:val="center"/>
              <w:rPr>
                <w:rFonts w:ascii="Arial" w:hAnsi="Arial" w:cs="Arial"/>
                <w:sz w:val="18"/>
                <w:szCs w:val="18"/>
              </w:rPr>
            </w:pPr>
          </w:p>
        </w:tc>
      </w:tr>
      <w:tr w:rsidR="003D07CA" w:rsidRPr="00637580" w14:paraId="69981B59" w14:textId="77777777" w:rsidTr="003E1F68">
        <w:tc>
          <w:tcPr>
            <w:tcW w:w="7020" w:type="dxa"/>
            <w:tcBorders>
              <w:bottom w:val="single" w:sz="4" w:space="0" w:color="auto"/>
            </w:tcBorders>
          </w:tcPr>
          <w:p w14:paraId="69981B55" w14:textId="77777777" w:rsidR="003D07CA" w:rsidRPr="00637580" w:rsidRDefault="003D07CA" w:rsidP="00525B7F">
            <w:pPr>
              <w:pStyle w:val="Checklist1a"/>
              <w:numPr>
                <w:ilvl w:val="0"/>
                <w:numId w:val="123"/>
              </w:numPr>
              <w:spacing w:before="40" w:after="40"/>
              <w:jc w:val="left"/>
              <w:rPr>
                <w:rFonts w:ascii="Arial" w:hAnsi="Arial" w:cs="Arial"/>
                <w:sz w:val="18"/>
                <w:szCs w:val="18"/>
              </w:rPr>
            </w:pPr>
            <w:r w:rsidRPr="00637580">
              <w:rPr>
                <w:rFonts w:ascii="Arial" w:hAnsi="Arial" w:cs="Arial"/>
                <w:sz w:val="18"/>
                <w:szCs w:val="18"/>
              </w:rPr>
              <w:t>Telephone number to ascertain preauthorized transfers, if the financial institution provides telephone</w:t>
            </w:r>
            <w:r w:rsidR="003A79D1">
              <w:rPr>
                <w:rFonts w:ascii="Arial" w:hAnsi="Arial" w:cs="Arial"/>
                <w:sz w:val="18"/>
                <w:szCs w:val="18"/>
              </w:rPr>
              <w:t xml:space="preserve"> notice under 12 CFR 1005.10(a</w:t>
            </w:r>
            <w:proofErr w:type="gramStart"/>
            <w:r w:rsidR="003A79D1">
              <w:rPr>
                <w:rFonts w:ascii="Arial" w:hAnsi="Arial" w:cs="Arial"/>
                <w:sz w:val="18"/>
                <w:szCs w:val="18"/>
              </w:rPr>
              <w:t>)(</w:t>
            </w:r>
            <w:proofErr w:type="gramEnd"/>
            <w:r w:rsidR="003A79D1">
              <w:rPr>
                <w:rFonts w:ascii="Arial" w:hAnsi="Arial" w:cs="Arial"/>
                <w:sz w:val="18"/>
                <w:szCs w:val="18"/>
              </w:rPr>
              <w:t>1)</w:t>
            </w:r>
            <w:r w:rsidRPr="00637580">
              <w:rPr>
                <w:rFonts w:ascii="Arial" w:hAnsi="Arial" w:cs="Arial"/>
                <w:sz w:val="18"/>
                <w:szCs w:val="18"/>
              </w:rPr>
              <w:t>(iii)? (12 CFR 1005.9(b)(6))</w:t>
            </w:r>
          </w:p>
        </w:tc>
        <w:tc>
          <w:tcPr>
            <w:tcW w:w="660" w:type="dxa"/>
            <w:tcBorders>
              <w:bottom w:val="single" w:sz="4" w:space="0" w:color="auto"/>
            </w:tcBorders>
          </w:tcPr>
          <w:p w14:paraId="69981B56"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B57"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B58" w14:textId="77777777" w:rsidR="003D07CA" w:rsidRPr="00637580" w:rsidRDefault="003D07CA" w:rsidP="003E1F68">
            <w:pPr>
              <w:spacing w:before="40" w:after="40"/>
              <w:jc w:val="center"/>
              <w:rPr>
                <w:rFonts w:ascii="Arial" w:hAnsi="Arial" w:cs="Arial"/>
                <w:sz w:val="18"/>
                <w:szCs w:val="18"/>
              </w:rPr>
            </w:pPr>
          </w:p>
        </w:tc>
      </w:tr>
    </w:tbl>
    <w:p w14:paraId="69981B5A" w14:textId="77777777" w:rsidR="003D07CA" w:rsidRPr="00D7575F" w:rsidRDefault="003D07CA" w:rsidP="003D07CA">
      <w:pPr>
        <w:rPr>
          <w:rFonts w:ascii="Arial" w:hAnsi="Arial" w:cs="Arial"/>
          <w:sz w:val="18"/>
          <w:szCs w:val="18"/>
        </w:rPr>
      </w:pPr>
      <w:r w:rsidRPr="00D7575F">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B5F" w14:textId="77777777" w:rsidTr="003E1F68">
        <w:tc>
          <w:tcPr>
            <w:tcW w:w="7020" w:type="dxa"/>
            <w:shd w:val="clear" w:color="auto" w:fill="auto"/>
          </w:tcPr>
          <w:p w14:paraId="69981B5B"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tcBorders>
              <w:bottom w:val="single" w:sz="4" w:space="0" w:color="auto"/>
            </w:tcBorders>
            <w:shd w:val="clear" w:color="auto" w:fill="auto"/>
          </w:tcPr>
          <w:p w14:paraId="69981B5C"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tcBorders>
              <w:bottom w:val="single" w:sz="4" w:space="0" w:color="auto"/>
            </w:tcBorders>
            <w:shd w:val="clear" w:color="auto" w:fill="auto"/>
          </w:tcPr>
          <w:p w14:paraId="69981B5D"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No</w:t>
            </w:r>
          </w:p>
        </w:tc>
        <w:tc>
          <w:tcPr>
            <w:tcW w:w="660" w:type="dxa"/>
            <w:tcBorders>
              <w:bottom w:val="single" w:sz="4" w:space="0" w:color="auto"/>
            </w:tcBorders>
            <w:shd w:val="clear" w:color="auto" w:fill="auto"/>
          </w:tcPr>
          <w:p w14:paraId="69981B5E"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B64" w14:textId="77777777" w:rsidTr="003E1F68">
        <w:tc>
          <w:tcPr>
            <w:tcW w:w="7020" w:type="dxa"/>
            <w:shd w:val="clear" w:color="auto" w:fill="D9D9D9" w:themeFill="background1" w:themeFillShade="D9"/>
          </w:tcPr>
          <w:p w14:paraId="69981B60" w14:textId="77777777" w:rsidR="003D07CA" w:rsidRPr="00637580" w:rsidRDefault="00155765" w:rsidP="003E1F68">
            <w:pPr>
              <w:spacing w:before="40" w:after="40"/>
              <w:rPr>
                <w:rFonts w:ascii="Arial" w:hAnsi="Arial" w:cs="Arial"/>
                <w:b/>
                <w:sz w:val="18"/>
                <w:szCs w:val="18"/>
              </w:rPr>
            </w:pPr>
            <w:r>
              <w:rPr>
                <w:rFonts w:ascii="Arial" w:hAnsi="Arial" w:cs="Arial"/>
                <w:b/>
                <w:sz w:val="18"/>
                <w:szCs w:val="18"/>
              </w:rPr>
              <w:t>12 CFR</w:t>
            </w:r>
            <w:r w:rsidR="003D07CA" w:rsidRPr="00637580">
              <w:rPr>
                <w:rFonts w:ascii="Arial" w:hAnsi="Arial" w:cs="Arial"/>
                <w:b/>
                <w:sz w:val="18"/>
                <w:szCs w:val="18"/>
              </w:rPr>
              <w:t xml:space="preserve"> 1005.10 – Preauthorized Transfers</w:t>
            </w:r>
          </w:p>
        </w:tc>
        <w:tc>
          <w:tcPr>
            <w:tcW w:w="660" w:type="dxa"/>
            <w:tcBorders>
              <w:bottom w:val="single" w:sz="4" w:space="0" w:color="auto"/>
            </w:tcBorders>
            <w:shd w:val="clear" w:color="auto" w:fill="D9D9D9" w:themeFill="background1" w:themeFillShade="D9"/>
          </w:tcPr>
          <w:p w14:paraId="69981B61" w14:textId="77777777" w:rsidR="003D07CA" w:rsidRPr="00637580" w:rsidRDefault="003D07CA" w:rsidP="003E1F68">
            <w:pPr>
              <w:spacing w:before="40" w:after="40"/>
              <w:jc w:val="center"/>
              <w:rPr>
                <w:rFonts w:ascii="Arial" w:hAnsi="Arial" w:cs="Arial"/>
                <w:b/>
                <w:sz w:val="18"/>
                <w:szCs w:val="18"/>
              </w:rPr>
            </w:pPr>
          </w:p>
        </w:tc>
        <w:tc>
          <w:tcPr>
            <w:tcW w:w="660" w:type="dxa"/>
            <w:tcBorders>
              <w:bottom w:val="single" w:sz="4" w:space="0" w:color="auto"/>
            </w:tcBorders>
            <w:shd w:val="clear" w:color="auto" w:fill="D9D9D9" w:themeFill="background1" w:themeFillShade="D9"/>
          </w:tcPr>
          <w:p w14:paraId="69981B62" w14:textId="77777777" w:rsidR="003D07CA" w:rsidRPr="00637580" w:rsidRDefault="003D07CA" w:rsidP="003E1F68">
            <w:pPr>
              <w:spacing w:before="40" w:after="40"/>
              <w:jc w:val="center"/>
              <w:rPr>
                <w:rFonts w:ascii="Arial" w:hAnsi="Arial" w:cs="Arial"/>
                <w:b/>
                <w:sz w:val="18"/>
                <w:szCs w:val="18"/>
              </w:rPr>
            </w:pPr>
          </w:p>
        </w:tc>
        <w:tc>
          <w:tcPr>
            <w:tcW w:w="660" w:type="dxa"/>
            <w:tcBorders>
              <w:bottom w:val="single" w:sz="4" w:space="0" w:color="auto"/>
            </w:tcBorders>
            <w:shd w:val="clear" w:color="auto" w:fill="D9D9D9" w:themeFill="background1" w:themeFillShade="D9"/>
          </w:tcPr>
          <w:p w14:paraId="69981B63"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B69" w14:textId="77777777" w:rsidTr="003E1F68">
        <w:tc>
          <w:tcPr>
            <w:tcW w:w="7020" w:type="dxa"/>
          </w:tcPr>
          <w:p w14:paraId="69981B65" w14:textId="77777777" w:rsidR="003D07CA" w:rsidRPr="00637580" w:rsidRDefault="003D07CA" w:rsidP="00525B7F">
            <w:pPr>
              <w:pStyle w:val="Checklist1"/>
              <w:numPr>
                <w:ilvl w:val="0"/>
                <w:numId w:val="90"/>
              </w:numPr>
              <w:spacing w:before="40" w:after="40"/>
              <w:ind w:left="522" w:hanging="522"/>
              <w:rPr>
                <w:rFonts w:ascii="Arial" w:hAnsi="Arial" w:cs="Arial"/>
                <w:sz w:val="18"/>
                <w:szCs w:val="18"/>
              </w:rPr>
            </w:pPr>
            <w:r w:rsidRPr="00637580">
              <w:rPr>
                <w:rFonts w:ascii="Arial" w:hAnsi="Arial" w:cs="Arial"/>
                <w:sz w:val="18"/>
                <w:szCs w:val="18"/>
              </w:rPr>
              <w:t>If a consumer’s account is to be credited by a preauthorized EFT from the same payor at least once every 60 days (and the payor does not already provide notice to the consumer that the transfer has been initiated)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1005.10(a)(2)), does the financial institution do one of the following:</w:t>
            </w:r>
          </w:p>
        </w:tc>
        <w:tc>
          <w:tcPr>
            <w:tcW w:w="660" w:type="dxa"/>
            <w:shd w:val="clear" w:color="auto" w:fill="D9D9D9" w:themeFill="background1" w:themeFillShade="D9"/>
          </w:tcPr>
          <w:p w14:paraId="69981B66"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67"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68"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B6E" w14:textId="77777777" w:rsidTr="003E1F68">
        <w:tc>
          <w:tcPr>
            <w:tcW w:w="7020" w:type="dxa"/>
          </w:tcPr>
          <w:p w14:paraId="69981B6A" w14:textId="77777777" w:rsidR="003D07CA" w:rsidRPr="00637580" w:rsidRDefault="003D07CA" w:rsidP="00525B7F">
            <w:pPr>
              <w:pStyle w:val="ChecklistBullet1"/>
              <w:numPr>
                <w:ilvl w:val="0"/>
                <w:numId w:val="124"/>
              </w:numPr>
              <w:tabs>
                <w:tab w:val="clear" w:pos="3600"/>
              </w:tabs>
              <w:ind w:left="882"/>
              <w:rPr>
                <w:rFonts w:ascii="Arial" w:hAnsi="Arial" w:cs="Arial"/>
                <w:sz w:val="18"/>
                <w:szCs w:val="18"/>
              </w:rPr>
            </w:pPr>
            <w:r w:rsidRPr="00637580">
              <w:rPr>
                <w:rFonts w:ascii="Arial" w:hAnsi="Arial" w:cs="Arial"/>
                <w:sz w:val="18"/>
                <w:szCs w:val="18"/>
              </w:rPr>
              <w:t>Provide oral or written notice, within two business days, after the transfer occurs? (12 CFR 1005.10(a)(1)(i))</w:t>
            </w:r>
          </w:p>
        </w:tc>
        <w:tc>
          <w:tcPr>
            <w:tcW w:w="660" w:type="dxa"/>
          </w:tcPr>
          <w:p w14:paraId="69981B6B" w14:textId="77777777" w:rsidR="003D07CA" w:rsidRPr="00637580" w:rsidRDefault="003D07CA" w:rsidP="003E1F68">
            <w:pPr>
              <w:spacing w:before="40" w:after="40"/>
              <w:jc w:val="center"/>
              <w:rPr>
                <w:rFonts w:ascii="Arial" w:hAnsi="Arial" w:cs="Arial"/>
                <w:sz w:val="18"/>
                <w:szCs w:val="18"/>
              </w:rPr>
            </w:pPr>
          </w:p>
        </w:tc>
        <w:tc>
          <w:tcPr>
            <w:tcW w:w="660" w:type="dxa"/>
          </w:tcPr>
          <w:p w14:paraId="69981B6C" w14:textId="77777777" w:rsidR="003D07CA" w:rsidRPr="00637580" w:rsidRDefault="003D07CA" w:rsidP="003E1F68">
            <w:pPr>
              <w:spacing w:before="40" w:after="40"/>
              <w:jc w:val="center"/>
              <w:rPr>
                <w:rFonts w:ascii="Arial" w:hAnsi="Arial" w:cs="Arial"/>
                <w:sz w:val="18"/>
                <w:szCs w:val="18"/>
              </w:rPr>
            </w:pPr>
          </w:p>
        </w:tc>
        <w:tc>
          <w:tcPr>
            <w:tcW w:w="660" w:type="dxa"/>
          </w:tcPr>
          <w:p w14:paraId="69981B6D" w14:textId="77777777" w:rsidR="003D07CA" w:rsidRPr="00637580" w:rsidRDefault="003D07CA" w:rsidP="003E1F68">
            <w:pPr>
              <w:spacing w:before="40" w:after="40"/>
              <w:jc w:val="center"/>
              <w:rPr>
                <w:rFonts w:ascii="Arial" w:hAnsi="Arial" w:cs="Arial"/>
                <w:sz w:val="18"/>
                <w:szCs w:val="18"/>
              </w:rPr>
            </w:pPr>
          </w:p>
        </w:tc>
      </w:tr>
      <w:tr w:rsidR="003D07CA" w:rsidRPr="00637580" w14:paraId="69981B73" w14:textId="77777777" w:rsidTr="003E1F68">
        <w:tc>
          <w:tcPr>
            <w:tcW w:w="7020" w:type="dxa"/>
          </w:tcPr>
          <w:p w14:paraId="69981B6F" w14:textId="77777777" w:rsidR="003D07CA" w:rsidRPr="00637580" w:rsidRDefault="003D07CA" w:rsidP="00525B7F">
            <w:pPr>
              <w:pStyle w:val="ChecklistBullet1"/>
              <w:numPr>
                <w:ilvl w:val="0"/>
                <w:numId w:val="124"/>
              </w:numPr>
              <w:tabs>
                <w:tab w:val="clear" w:pos="3600"/>
              </w:tabs>
              <w:ind w:left="882"/>
              <w:rPr>
                <w:rFonts w:ascii="Arial" w:hAnsi="Arial" w:cs="Arial"/>
                <w:sz w:val="18"/>
                <w:szCs w:val="18"/>
              </w:rPr>
            </w:pPr>
            <w:r w:rsidRPr="00637580">
              <w:rPr>
                <w:rFonts w:ascii="Arial" w:hAnsi="Arial" w:cs="Arial"/>
                <w:sz w:val="18"/>
                <w:szCs w:val="18"/>
              </w:rPr>
              <w:t>Provide oral or written notice, within two business days after the transfer was scheduled to occur, that the transfer did or did not occur?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1005.10(a)(1)(ii))</w:t>
            </w:r>
          </w:p>
        </w:tc>
        <w:tc>
          <w:tcPr>
            <w:tcW w:w="660" w:type="dxa"/>
          </w:tcPr>
          <w:p w14:paraId="69981B70" w14:textId="77777777" w:rsidR="003D07CA" w:rsidRPr="00637580" w:rsidRDefault="003D07CA" w:rsidP="003E1F68">
            <w:pPr>
              <w:spacing w:before="40" w:after="40"/>
              <w:jc w:val="center"/>
              <w:rPr>
                <w:rFonts w:ascii="Arial" w:hAnsi="Arial" w:cs="Arial"/>
                <w:sz w:val="18"/>
                <w:szCs w:val="18"/>
              </w:rPr>
            </w:pPr>
          </w:p>
        </w:tc>
        <w:tc>
          <w:tcPr>
            <w:tcW w:w="660" w:type="dxa"/>
          </w:tcPr>
          <w:p w14:paraId="69981B71" w14:textId="77777777" w:rsidR="003D07CA" w:rsidRPr="00637580" w:rsidRDefault="003D07CA" w:rsidP="003E1F68">
            <w:pPr>
              <w:spacing w:before="40" w:after="40"/>
              <w:jc w:val="center"/>
              <w:rPr>
                <w:rFonts w:ascii="Arial" w:hAnsi="Arial" w:cs="Arial"/>
                <w:sz w:val="18"/>
                <w:szCs w:val="18"/>
              </w:rPr>
            </w:pPr>
          </w:p>
        </w:tc>
        <w:tc>
          <w:tcPr>
            <w:tcW w:w="660" w:type="dxa"/>
          </w:tcPr>
          <w:p w14:paraId="69981B72" w14:textId="77777777" w:rsidR="003D07CA" w:rsidRPr="00637580" w:rsidRDefault="003D07CA" w:rsidP="003E1F68">
            <w:pPr>
              <w:spacing w:before="40" w:after="40"/>
              <w:jc w:val="center"/>
              <w:rPr>
                <w:rFonts w:ascii="Arial" w:hAnsi="Arial" w:cs="Arial"/>
                <w:sz w:val="18"/>
                <w:szCs w:val="18"/>
              </w:rPr>
            </w:pPr>
          </w:p>
        </w:tc>
      </w:tr>
      <w:tr w:rsidR="003D07CA" w:rsidRPr="00637580" w14:paraId="69981B78" w14:textId="77777777" w:rsidTr="003E1F68">
        <w:tc>
          <w:tcPr>
            <w:tcW w:w="7020" w:type="dxa"/>
          </w:tcPr>
          <w:p w14:paraId="69981B74" w14:textId="77777777" w:rsidR="003D07CA" w:rsidRPr="00637580" w:rsidRDefault="003D07CA" w:rsidP="00525B7F">
            <w:pPr>
              <w:pStyle w:val="ChecklistBullet1"/>
              <w:numPr>
                <w:ilvl w:val="0"/>
                <w:numId w:val="124"/>
              </w:numPr>
              <w:tabs>
                <w:tab w:val="clear" w:pos="3600"/>
              </w:tabs>
              <w:ind w:left="882"/>
              <w:rPr>
                <w:rFonts w:ascii="Arial" w:hAnsi="Arial" w:cs="Arial"/>
                <w:sz w:val="18"/>
                <w:szCs w:val="18"/>
              </w:rPr>
            </w:pPr>
            <w:r w:rsidRPr="00637580">
              <w:rPr>
                <w:rFonts w:ascii="Arial" w:hAnsi="Arial" w:cs="Arial"/>
                <w:sz w:val="18"/>
                <w:szCs w:val="18"/>
              </w:rPr>
              <w:t>Provide a readily available telephone line that the consumer can call to determine if the transfer occurred and that telephone number is disclosed on the initial disclosure of account terms and on each periodic statement? (12 CFR 1005.10(a)(1)(iii))</w:t>
            </w:r>
          </w:p>
        </w:tc>
        <w:tc>
          <w:tcPr>
            <w:tcW w:w="660" w:type="dxa"/>
          </w:tcPr>
          <w:p w14:paraId="69981B75" w14:textId="77777777" w:rsidR="003D07CA" w:rsidRPr="00637580" w:rsidRDefault="003D07CA" w:rsidP="003E1F68">
            <w:pPr>
              <w:spacing w:before="40" w:after="40"/>
              <w:jc w:val="center"/>
              <w:rPr>
                <w:rFonts w:ascii="Arial" w:hAnsi="Arial" w:cs="Arial"/>
                <w:sz w:val="18"/>
                <w:szCs w:val="18"/>
              </w:rPr>
            </w:pPr>
          </w:p>
        </w:tc>
        <w:tc>
          <w:tcPr>
            <w:tcW w:w="660" w:type="dxa"/>
          </w:tcPr>
          <w:p w14:paraId="69981B76" w14:textId="77777777" w:rsidR="003D07CA" w:rsidRPr="00637580" w:rsidRDefault="003D07CA" w:rsidP="003E1F68">
            <w:pPr>
              <w:spacing w:before="40" w:after="40"/>
              <w:jc w:val="center"/>
              <w:rPr>
                <w:rFonts w:ascii="Arial" w:hAnsi="Arial" w:cs="Arial"/>
                <w:sz w:val="18"/>
                <w:szCs w:val="18"/>
              </w:rPr>
            </w:pPr>
          </w:p>
        </w:tc>
        <w:tc>
          <w:tcPr>
            <w:tcW w:w="660" w:type="dxa"/>
          </w:tcPr>
          <w:p w14:paraId="69981B77" w14:textId="77777777" w:rsidR="003D07CA" w:rsidRPr="00637580" w:rsidRDefault="003D07CA" w:rsidP="003E1F68">
            <w:pPr>
              <w:spacing w:before="40" w:after="40"/>
              <w:jc w:val="center"/>
              <w:rPr>
                <w:rFonts w:ascii="Arial" w:hAnsi="Arial" w:cs="Arial"/>
                <w:sz w:val="18"/>
                <w:szCs w:val="18"/>
              </w:rPr>
            </w:pPr>
          </w:p>
        </w:tc>
      </w:tr>
      <w:tr w:rsidR="003D07CA" w:rsidRPr="00637580" w14:paraId="69981B7D" w14:textId="77777777" w:rsidTr="003E1F68">
        <w:tc>
          <w:tcPr>
            <w:tcW w:w="7020" w:type="dxa"/>
          </w:tcPr>
          <w:p w14:paraId="69981B79" w14:textId="77777777" w:rsidR="003D07CA" w:rsidRPr="007C7C6F"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Does the financial institution credit the amount of a preauthorized transfer as of the date the funds for the transfer are received?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1005.10(a)(3))</w:t>
            </w:r>
          </w:p>
        </w:tc>
        <w:tc>
          <w:tcPr>
            <w:tcW w:w="660" w:type="dxa"/>
          </w:tcPr>
          <w:p w14:paraId="69981B7A" w14:textId="77777777" w:rsidR="003D07CA" w:rsidRPr="007C7C6F" w:rsidRDefault="003D07CA" w:rsidP="003E1F68">
            <w:pPr>
              <w:spacing w:before="40" w:after="40"/>
              <w:jc w:val="center"/>
              <w:rPr>
                <w:rFonts w:ascii="Arial" w:hAnsi="Arial" w:cs="Arial"/>
                <w:sz w:val="18"/>
                <w:szCs w:val="18"/>
              </w:rPr>
            </w:pPr>
          </w:p>
        </w:tc>
        <w:tc>
          <w:tcPr>
            <w:tcW w:w="660" w:type="dxa"/>
          </w:tcPr>
          <w:p w14:paraId="69981B7B" w14:textId="77777777" w:rsidR="003D07CA" w:rsidRPr="007C7C6F" w:rsidRDefault="003D07CA" w:rsidP="003E1F68">
            <w:pPr>
              <w:spacing w:before="40" w:after="40"/>
              <w:jc w:val="center"/>
              <w:rPr>
                <w:rFonts w:ascii="Arial" w:hAnsi="Arial" w:cs="Arial"/>
                <w:sz w:val="18"/>
                <w:szCs w:val="18"/>
              </w:rPr>
            </w:pPr>
          </w:p>
        </w:tc>
        <w:tc>
          <w:tcPr>
            <w:tcW w:w="660" w:type="dxa"/>
          </w:tcPr>
          <w:p w14:paraId="69981B7C" w14:textId="77777777" w:rsidR="003D07CA" w:rsidRPr="00637580" w:rsidRDefault="003D07CA" w:rsidP="003E1F68">
            <w:pPr>
              <w:spacing w:before="40" w:after="40"/>
              <w:jc w:val="center"/>
              <w:rPr>
                <w:rFonts w:ascii="Arial" w:hAnsi="Arial" w:cs="Arial"/>
                <w:sz w:val="18"/>
                <w:szCs w:val="18"/>
              </w:rPr>
            </w:pPr>
          </w:p>
        </w:tc>
      </w:tr>
      <w:tr w:rsidR="003D07CA" w:rsidRPr="00637580" w14:paraId="69981B82" w14:textId="77777777" w:rsidTr="003E1F68">
        <w:tc>
          <w:tcPr>
            <w:tcW w:w="7020" w:type="dxa"/>
          </w:tcPr>
          <w:p w14:paraId="69981B7E"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Does the financial institution ensure that an authorization is obtained for preauthorized transfers from a consumer’s account by a written, signed or similarly authenticated authorization, and is a copy of the authorization provided to the consumer? (12 CFR 1005.10(b))</w:t>
            </w:r>
          </w:p>
        </w:tc>
        <w:tc>
          <w:tcPr>
            <w:tcW w:w="660" w:type="dxa"/>
          </w:tcPr>
          <w:p w14:paraId="69981B7F" w14:textId="77777777" w:rsidR="003D07CA" w:rsidRPr="00637580" w:rsidRDefault="003D07CA" w:rsidP="003E1F68">
            <w:pPr>
              <w:spacing w:before="40" w:after="40"/>
              <w:jc w:val="center"/>
              <w:rPr>
                <w:rFonts w:ascii="Arial" w:hAnsi="Arial" w:cs="Arial"/>
                <w:sz w:val="18"/>
                <w:szCs w:val="18"/>
              </w:rPr>
            </w:pPr>
          </w:p>
        </w:tc>
        <w:tc>
          <w:tcPr>
            <w:tcW w:w="660" w:type="dxa"/>
          </w:tcPr>
          <w:p w14:paraId="69981B80" w14:textId="77777777" w:rsidR="003D07CA" w:rsidRPr="00637580" w:rsidRDefault="003D07CA" w:rsidP="003E1F68">
            <w:pPr>
              <w:spacing w:before="40" w:after="40"/>
              <w:jc w:val="center"/>
              <w:rPr>
                <w:rFonts w:ascii="Arial" w:hAnsi="Arial" w:cs="Arial"/>
                <w:sz w:val="18"/>
                <w:szCs w:val="18"/>
              </w:rPr>
            </w:pPr>
          </w:p>
        </w:tc>
        <w:tc>
          <w:tcPr>
            <w:tcW w:w="660" w:type="dxa"/>
          </w:tcPr>
          <w:p w14:paraId="69981B81" w14:textId="77777777" w:rsidR="003D07CA" w:rsidRPr="00637580" w:rsidRDefault="003D07CA" w:rsidP="003E1F68">
            <w:pPr>
              <w:spacing w:before="40" w:after="40"/>
              <w:jc w:val="center"/>
              <w:rPr>
                <w:rFonts w:ascii="Arial" w:hAnsi="Arial" w:cs="Arial"/>
                <w:sz w:val="18"/>
                <w:szCs w:val="18"/>
              </w:rPr>
            </w:pPr>
          </w:p>
        </w:tc>
      </w:tr>
      <w:tr w:rsidR="003D07CA" w:rsidRPr="00637580" w14:paraId="69981B87" w14:textId="77777777" w:rsidTr="003E1F68">
        <w:tc>
          <w:tcPr>
            <w:tcW w:w="7020" w:type="dxa"/>
          </w:tcPr>
          <w:p w14:paraId="69981B83"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Does the financial institution allow the consumer to stop payment on a preauthorized EFT by oral or written notice at least three business days before the scheduled date of the transfer? (12 CFR 1005.10(c)(1))</w:t>
            </w:r>
          </w:p>
        </w:tc>
        <w:tc>
          <w:tcPr>
            <w:tcW w:w="660" w:type="dxa"/>
          </w:tcPr>
          <w:p w14:paraId="69981B84" w14:textId="77777777" w:rsidR="003D07CA" w:rsidRPr="00637580" w:rsidRDefault="003D07CA" w:rsidP="003E1F68">
            <w:pPr>
              <w:spacing w:before="40" w:after="40"/>
              <w:jc w:val="center"/>
              <w:rPr>
                <w:rFonts w:ascii="Arial" w:hAnsi="Arial" w:cs="Arial"/>
                <w:sz w:val="18"/>
                <w:szCs w:val="18"/>
              </w:rPr>
            </w:pPr>
          </w:p>
        </w:tc>
        <w:tc>
          <w:tcPr>
            <w:tcW w:w="660" w:type="dxa"/>
          </w:tcPr>
          <w:p w14:paraId="69981B85" w14:textId="77777777" w:rsidR="003D07CA" w:rsidRPr="00637580" w:rsidRDefault="003D07CA" w:rsidP="003E1F68">
            <w:pPr>
              <w:spacing w:before="40" w:after="40"/>
              <w:jc w:val="center"/>
              <w:rPr>
                <w:rFonts w:ascii="Arial" w:hAnsi="Arial" w:cs="Arial"/>
                <w:sz w:val="18"/>
                <w:szCs w:val="18"/>
              </w:rPr>
            </w:pPr>
          </w:p>
        </w:tc>
        <w:tc>
          <w:tcPr>
            <w:tcW w:w="660" w:type="dxa"/>
          </w:tcPr>
          <w:p w14:paraId="69981B86" w14:textId="77777777" w:rsidR="003D07CA" w:rsidRPr="00637580" w:rsidRDefault="003D07CA" w:rsidP="003E1F68">
            <w:pPr>
              <w:spacing w:before="40" w:after="40"/>
              <w:jc w:val="center"/>
              <w:rPr>
                <w:rFonts w:ascii="Arial" w:hAnsi="Arial" w:cs="Arial"/>
                <w:sz w:val="18"/>
                <w:szCs w:val="18"/>
              </w:rPr>
            </w:pPr>
          </w:p>
        </w:tc>
      </w:tr>
      <w:tr w:rsidR="003D07CA" w:rsidRPr="00637580" w14:paraId="69981B8E" w14:textId="77777777" w:rsidTr="003E1F68">
        <w:tc>
          <w:tcPr>
            <w:tcW w:w="7020" w:type="dxa"/>
          </w:tcPr>
          <w:p w14:paraId="69981B88"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If the financial institution requires that the consumer give writt</w:t>
            </w:r>
            <w:r w:rsidR="00F02D8F">
              <w:rPr>
                <w:rFonts w:ascii="Arial" w:hAnsi="Arial" w:cs="Arial"/>
                <w:sz w:val="18"/>
                <w:szCs w:val="18"/>
              </w:rPr>
              <w:t xml:space="preserve">en confirmation of an oral stop </w:t>
            </w:r>
            <w:r w:rsidRPr="00637580">
              <w:rPr>
                <w:rFonts w:ascii="Arial" w:hAnsi="Arial" w:cs="Arial"/>
                <w:sz w:val="18"/>
                <w:szCs w:val="18"/>
              </w:rPr>
              <w:t>payment order within 14 days, does the financial institution inform the consumer, at the time the</w:t>
            </w:r>
            <w:r w:rsidR="00AE3638">
              <w:rPr>
                <w:rFonts w:ascii="Arial" w:hAnsi="Arial" w:cs="Arial"/>
                <w:sz w:val="18"/>
                <w:szCs w:val="18"/>
              </w:rPr>
              <w:t xml:space="preserve"> consumer </w:t>
            </w:r>
            <w:r w:rsidRPr="00637580">
              <w:rPr>
                <w:rFonts w:ascii="Arial" w:hAnsi="Arial" w:cs="Arial"/>
                <w:sz w:val="18"/>
                <w:szCs w:val="18"/>
              </w:rPr>
              <w:t>give</w:t>
            </w:r>
            <w:r>
              <w:rPr>
                <w:rFonts w:ascii="Arial" w:hAnsi="Arial" w:cs="Arial"/>
                <w:sz w:val="18"/>
                <w:szCs w:val="18"/>
              </w:rPr>
              <w:t>s</w:t>
            </w:r>
            <w:r w:rsidRPr="00637580">
              <w:rPr>
                <w:rFonts w:ascii="Arial" w:hAnsi="Arial" w:cs="Arial"/>
                <w:sz w:val="18"/>
                <w:szCs w:val="18"/>
              </w:rPr>
              <w:t xml:space="preserve"> oral notification, of the requirement and provide the address where </w:t>
            </w:r>
            <w:r w:rsidR="00950C18">
              <w:rPr>
                <w:rFonts w:ascii="Arial" w:hAnsi="Arial" w:cs="Arial"/>
                <w:sz w:val="18"/>
                <w:szCs w:val="18"/>
              </w:rPr>
              <w:t xml:space="preserve">he or she </w:t>
            </w:r>
            <w:r w:rsidRPr="00637580">
              <w:rPr>
                <w:rFonts w:ascii="Arial" w:hAnsi="Arial" w:cs="Arial"/>
                <w:sz w:val="18"/>
                <w:szCs w:val="18"/>
              </w:rPr>
              <w:t>must send the written confirmation?</w:t>
            </w:r>
          </w:p>
          <w:p w14:paraId="69981B89" w14:textId="77777777" w:rsidR="003D07CA" w:rsidRPr="00637580" w:rsidRDefault="003D07CA" w:rsidP="003E1F68">
            <w:pPr>
              <w:pStyle w:val="Checklist1"/>
              <w:spacing w:before="40" w:after="40"/>
              <w:ind w:left="522"/>
              <w:rPr>
                <w:rFonts w:ascii="Arial" w:hAnsi="Arial" w:cs="Arial"/>
                <w:sz w:val="18"/>
                <w:szCs w:val="18"/>
              </w:rPr>
            </w:pPr>
          </w:p>
          <w:p w14:paraId="69981B8A" w14:textId="77777777" w:rsidR="003D07CA" w:rsidRPr="007C7C6F" w:rsidRDefault="003D07CA" w:rsidP="00F02D8F">
            <w:pPr>
              <w:pStyle w:val="Checklist1"/>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b/>
                <w:i/>
                <w:sz w:val="18"/>
                <w:szCs w:val="18"/>
              </w:rPr>
              <w:t>:</w:t>
            </w:r>
            <w:r w:rsidRPr="00637580">
              <w:rPr>
                <w:rFonts w:ascii="Arial" w:hAnsi="Arial" w:cs="Arial"/>
                <w:b/>
                <w:sz w:val="18"/>
                <w:szCs w:val="18"/>
              </w:rPr>
              <w:t xml:space="preserve"> </w:t>
            </w:r>
            <w:r w:rsidRPr="00637580">
              <w:rPr>
                <w:rFonts w:ascii="Arial" w:hAnsi="Arial" w:cs="Arial"/>
                <w:sz w:val="18"/>
                <w:szCs w:val="18"/>
              </w:rPr>
              <w:t>An oral stop</w:t>
            </w:r>
            <w:r w:rsidR="00F02D8F">
              <w:rPr>
                <w:rFonts w:ascii="Arial" w:hAnsi="Arial" w:cs="Arial"/>
                <w:sz w:val="18"/>
                <w:szCs w:val="18"/>
              </w:rPr>
              <w:t xml:space="preserve"> </w:t>
            </w:r>
            <w:r w:rsidRPr="00637580">
              <w:rPr>
                <w:rFonts w:ascii="Arial" w:hAnsi="Arial" w:cs="Arial"/>
                <w:sz w:val="18"/>
                <w:szCs w:val="18"/>
              </w:rPr>
              <w:t>payment order ceases to be binding after 14 days if the consumer fails to provide the required written confirmation.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1005.10(c)(2))</w:t>
            </w:r>
          </w:p>
        </w:tc>
        <w:tc>
          <w:tcPr>
            <w:tcW w:w="660" w:type="dxa"/>
          </w:tcPr>
          <w:p w14:paraId="69981B8B" w14:textId="77777777" w:rsidR="003D07CA" w:rsidRPr="007C7C6F" w:rsidRDefault="003D07CA" w:rsidP="003E1F68">
            <w:pPr>
              <w:spacing w:before="40" w:after="40"/>
              <w:jc w:val="center"/>
              <w:rPr>
                <w:rFonts w:ascii="Arial" w:hAnsi="Arial" w:cs="Arial"/>
                <w:sz w:val="18"/>
                <w:szCs w:val="18"/>
              </w:rPr>
            </w:pPr>
          </w:p>
        </w:tc>
        <w:tc>
          <w:tcPr>
            <w:tcW w:w="660" w:type="dxa"/>
          </w:tcPr>
          <w:p w14:paraId="69981B8C" w14:textId="77777777" w:rsidR="003D07CA" w:rsidRPr="007C7C6F" w:rsidRDefault="003D07CA" w:rsidP="003E1F68">
            <w:pPr>
              <w:spacing w:before="40" w:after="40"/>
              <w:jc w:val="center"/>
              <w:rPr>
                <w:rFonts w:ascii="Arial" w:hAnsi="Arial" w:cs="Arial"/>
                <w:sz w:val="18"/>
                <w:szCs w:val="18"/>
              </w:rPr>
            </w:pPr>
          </w:p>
        </w:tc>
        <w:tc>
          <w:tcPr>
            <w:tcW w:w="660" w:type="dxa"/>
          </w:tcPr>
          <w:p w14:paraId="69981B8D" w14:textId="77777777" w:rsidR="003D07CA" w:rsidRPr="00637580" w:rsidRDefault="003D07CA" w:rsidP="003E1F68">
            <w:pPr>
              <w:spacing w:before="40" w:after="40"/>
              <w:jc w:val="center"/>
              <w:rPr>
                <w:rFonts w:ascii="Arial" w:hAnsi="Arial" w:cs="Arial"/>
                <w:sz w:val="18"/>
                <w:szCs w:val="18"/>
              </w:rPr>
            </w:pPr>
          </w:p>
        </w:tc>
      </w:tr>
      <w:tr w:rsidR="00E94298" w:rsidRPr="00637580" w14:paraId="69981B95" w14:textId="77777777" w:rsidTr="00E94298">
        <w:trPr>
          <w:trHeight w:val="485"/>
        </w:trPr>
        <w:tc>
          <w:tcPr>
            <w:tcW w:w="7020" w:type="dxa"/>
          </w:tcPr>
          <w:p w14:paraId="69981B8F" w14:textId="77777777" w:rsidR="00E94298" w:rsidRDefault="00E94298"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Does the financial institution inform, or ensure that third</w:t>
            </w:r>
            <w:r>
              <w:rPr>
                <w:rFonts w:ascii="Arial" w:hAnsi="Arial" w:cs="Arial"/>
                <w:sz w:val="18"/>
                <w:szCs w:val="18"/>
              </w:rPr>
              <w:t>-</w:t>
            </w:r>
            <w:r w:rsidRPr="00637580">
              <w:rPr>
                <w:rFonts w:ascii="Arial" w:hAnsi="Arial" w:cs="Arial"/>
                <w:sz w:val="18"/>
                <w:szCs w:val="18"/>
              </w:rPr>
              <w:t xml:space="preserve">party payees inform the consumer of the right to receive </w:t>
            </w:r>
            <w:r>
              <w:rPr>
                <w:rFonts w:ascii="Arial" w:hAnsi="Arial" w:cs="Arial"/>
                <w:sz w:val="18"/>
                <w:szCs w:val="18"/>
              </w:rPr>
              <w:t xml:space="preserve">notice of all varying transfers; </w:t>
            </w:r>
            <w:r w:rsidR="00654702">
              <w:rPr>
                <w:rFonts w:ascii="Arial" w:hAnsi="Arial" w:cs="Arial"/>
                <w:sz w:val="18"/>
                <w:szCs w:val="18"/>
              </w:rPr>
              <w:t>OR</w:t>
            </w:r>
          </w:p>
          <w:p w14:paraId="69981B90" w14:textId="77777777" w:rsidR="00E94298" w:rsidRDefault="00E94298" w:rsidP="00E94298">
            <w:pPr>
              <w:pStyle w:val="Checklist1"/>
              <w:spacing w:before="40" w:after="40"/>
              <w:ind w:left="-18"/>
              <w:rPr>
                <w:rFonts w:ascii="Arial" w:hAnsi="Arial" w:cs="Arial"/>
                <w:sz w:val="18"/>
                <w:szCs w:val="18"/>
              </w:rPr>
            </w:pPr>
          </w:p>
          <w:p w14:paraId="69981B91" w14:textId="77777777" w:rsidR="00E94298" w:rsidRPr="00637580" w:rsidRDefault="00E94298" w:rsidP="003E1F68">
            <w:pPr>
              <w:pStyle w:val="Checklist1"/>
              <w:spacing w:before="40" w:after="40"/>
              <w:ind w:left="522"/>
              <w:rPr>
                <w:rFonts w:ascii="Arial" w:hAnsi="Arial" w:cs="Arial"/>
                <w:sz w:val="18"/>
                <w:szCs w:val="18"/>
              </w:rPr>
            </w:pPr>
            <w:r w:rsidRPr="00637580">
              <w:rPr>
                <w:rFonts w:ascii="Arial" w:hAnsi="Arial" w:cs="Arial"/>
                <w:sz w:val="18"/>
                <w:szCs w:val="18"/>
              </w:rPr>
              <w:t>Does the financial institution give the consumer the option of receiving notice only when a transfer falls outside a specified range of amounts or differs from the most recent transfer by an agreed–upon amount?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 xml:space="preserve">1005.10(d)(2)) </w:t>
            </w:r>
          </w:p>
        </w:tc>
        <w:tc>
          <w:tcPr>
            <w:tcW w:w="660" w:type="dxa"/>
            <w:tcBorders>
              <w:bottom w:val="single" w:sz="4" w:space="0" w:color="auto"/>
            </w:tcBorders>
          </w:tcPr>
          <w:p w14:paraId="69981B92" w14:textId="77777777" w:rsidR="00E94298" w:rsidRPr="00637580" w:rsidRDefault="00E94298" w:rsidP="003E1F68">
            <w:pPr>
              <w:spacing w:before="40" w:after="40"/>
              <w:jc w:val="center"/>
              <w:rPr>
                <w:rFonts w:ascii="Arial" w:hAnsi="Arial" w:cs="Arial"/>
                <w:sz w:val="18"/>
                <w:szCs w:val="18"/>
              </w:rPr>
            </w:pPr>
          </w:p>
        </w:tc>
        <w:tc>
          <w:tcPr>
            <w:tcW w:w="660" w:type="dxa"/>
            <w:tcBorders>
              <w:bottom w:val="single" w:sz="4" w:space="0" w:color="auto"/>
            </w:tcBorders>
          </w:tcPr>
          <w:p w14:paraId="69981B93" w14:textId="77777777" w:rsidR="00E94298" w:rsidRPr="00637580" w:rsidRDefault="00E94298" w:rsidP="003E1F68">
            <w:pPr>
              <w:spacing w:before="40" w:after="40"/>
              <w:jc w:val="center"/>
              <w:rPr>
                <w:rFonts w:ascii="Arial" w:hAnsi="Arial" w:cs="Arial"/>
                <w:sz w:val="18"/>
                <w:szCs w:val="18"/>
              </w:rPr>
            </w:pPr>
          </w:p>
        </w:tc>
        <w:tc>
          <w:tcPr>
            <w:tcW w:w="660" w:type="dxa"/>
            <w:tcBorders>
              <w:bottom w:val="single" w:sz="4" w:space="0" w:color="auto"/>
            </w:tcBorders>
          </w:tcPr>
          <w:p w14:paraId="69981B94" w14:textId="77777777" w:rsidR="00E94298" w:rsidRPr="00637580" w:rsidRDefault="00E94298" w:rsidP="003E1F68">
            <w:pPr>
              <w:spacing w:before="40" w:after="40"/>
              <w:jc w:val="center"/>
              <w:rPr>
                <w:rFonts w:ascii="Arial" w:hAnsi="Arial" w:cs="Arial"/>
                <w:sz w:val="18"/>
                <w:szCs w:val="18"/>
              </w:rPr>
            </w:pPr>
          </w:p>
        </w:tc>
      </w:tr>
      <w:tr w:rsidR="003D07CA" w:rsidRPr="00637580" w14:paraId="69981B9A" w14:textId="77777777" w:rsidTr="003E1F68">
        <w:tc>
          <w:tcPr>
            <w:tcW w:w="7020" w:type="dxa"/>
          </w:tcPr>
          <w:p w14:paraId="69981B96"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If the financial institution or third</w:t>
            </w:r>
            <w:r>
              <w:rPr>
                <w:rFonts w:ascii="Arial" w:hAnsi="Arial" w:cs="Arial"/>
                <w:sz w:val="18"/>
                <w:szCs w:val="18"/>
              </w:rPr>
              <w:t>-</w:t>
            </w:r>
            <w:r w:rsidRPr="00637580">
              <w:rPr>
                <w:rFonts w:ascii="Arial" w:hAnsi="Arial" w:cs="Arial"/>
                <w:sz w:val="18"/>
                <w:szCs w:val="18"/>
              </w:rPr>
              <w:t>party payee is obligated to send the consumer written notice of the EFT of a varying amount, does the financial institution ensure that</w:t>
            </w:r>
            <w:r w:rsidR="006449AE">
              <w:rPr>
                <w:rFonts w:ascii="Arial" w:hAnsi="Arial" w:cs="Arial"/>
                <w:sz w:val="18"/>
                <w:szCs w:val="18"/>
              </w:rPr>
              <w:t xml:space="preserve"> the notice satisfies the following conditions:</w:t>
            </w:r>
          </w:p>
        </w:tc>
        <w:tc>
          <w:tcPr>
            <w:tcW w:w="660" w:type="dxa"/>
            <w:shd w:val="clear" w:color="auto" w:fill="D9D9D9" w:themeFill="background1" w:themeFillShade="D9"/>
          </w:tcPr>
          <w:p w14:paraId="69981B97"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98"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99"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B9F" w14:textId="77777777" w:rsidTr="003E1F68">
        <w:tc>
          <w:tcPr>
            <w:tcW w:w="7020" w:type="dxa"/>
          </w:tcPr>
          <w:p w14:paraId="69981B9B" w14:textId="77777777" w:rsidR="003D07CA" w:rsidRPr="00921573" w:rsidRDefault="00370FA8" w:rsidP="00525B7F">
            <w:pPr>
              <w:pStyle w:val="ChecklistBullet1"/>
              <w:numPr>
                <w:ilvl w:val="0"/>
                <w:numId w:val="125"/>
              </w:numPr>
              <w:tabs>
                <w:tab w:val="clear" w:pos="3600"/>
              </w:tabs>
              <w:ind w:left="882"/>
              <w:rPr>
                <w:rFonts w:ascii="Arial" w:hAnsi="Arial" w:cs="Arial"/>
                <w:sz w:val="18"/>
                <w:szCs w:val="18"/>
              </w:rPr>
            </w:pPr>
            <w:r>
              <w:rPr>
                <w:rFonts w:ascii="Arial" w:hAnsi="Arial" w:cs="Arial"/>
                <w:sz w:val="18"/>
                <w:szCs w:val="18"/>
              </w:rPr>
              <w:t>T</w:t>
            </w:r>
            <w:r w:rsidR="003D07CA" w:rsidRPr="00637580">
              <w:rPr>
                <w:rFonts w:ascii="Arial" w:hAnsi="Arial" w:cs="Arial"/>
                <w:sz w:val="18"/>
                <w:szCs w:val="18"/>
              </w:rPr>
              <w:t>he notice contains the amount and date of transfer?</w:t>
            </w:r>
            <w:r w:rsidR="00921573" w:rsidRPr="00921573">
              <w:rPr>
                <w:rFonts w:ascii="Arial" w:hAnsi="Arial" w:cs="Arial"/>
                <w:sz w:val="18"/>
                <w:szCs w:val="18"/>
              </w:rPr>
              <w:t xml:space="preserve"> (</w:t>
            </w:r>
            <w:r w:rsidR="00921573" w:rsidRPr="00637580">
              <w:rPr>
                <w:rFonts w:ascii="Arial" w:hAnsi="Arial" w:cs="Arial"/>
                <w:sz w:val="18"/>
                <w:szCs w:val="18"/>
              </w:rPr>
              <w:t>12</w:t>
            </w:r>
            <w:r w:rsidR="00921573">
              <w:rPr>
                <w:rFonts w:ascii="Arial" w:hAnsi="Arial" w:cs="Arial"/>
                <w:sz w:val="18"/>
                <w:szCs w:val="18"/>
              </w:rPr>
              <w:t> </w:t>
            </w:r>
            <w:r w:rsidR="00921573" w:rsidRPr="007C7C6F">
              <w:rPr>
                <w:rFonts w:ascii="Arial" w:hAnsi="Arial" w:cs="Arial"/>
                <w:sz w:val="18"/>
                <w:szCs w:val="18"/>
              </w:rPr>
              <w:t>CFR</w:t>
            </w:r>
            <w:r w:rsidR="00921573">
              <w:rPr>
                <w:rFonts w:ascii="Arial" w:hAnsi="Arial" w:cs="Arial"/>
                <w:sz w:val="18"/>
                <w:szCs w:val="18"/>
              </w:rPr>
              <w:t> </w:t>
            </w:r>
            <w:r w:rsidR="00921573" w:rsidRPr="007C7C6F">
              <w:rPr>
                <w:rFonts w:ascii="Arial" w:hAnsi="Arial" w:cs="Arial"/>
                <w:sz w:val="18"/>
                <w:szCs w:val="18"/>
              </w:rPr>
              <w:t>1005</w:t>
            </w:r>
            <w:r w:rsidR="00921573" w:rsidRPr="00921573">
              <w:rPr>
                <w:rFonts w:ascii="Arial" w:hAnsi="Arial" w:cs="Arial"/>
                <w:sz w:val="18"/>
                <w:szCs w:val="18"/>
              </w:rPr>
              <w:t>.</w:t>
            </w:r>
            <w:r w:rsidR="00921573">
              <w:rPr>
                <w:rFonts w:ascii="Arial" w:hAnsi="Arial" w:cs="Arial"/>
                <w:sz w:val="18"/>
                <w:szCs w:val="18"/>
              </w:rPr>
              <w:t>1</w:t>
            </w:r>
            <w:r w:rsidR="00921573" w:rsidRPr="00921573">
              <w:rPr>
                <w:rFonts w:ascii="Arial" w:hAnsi="Arial" w:cs="Arial"/>
                <w:sz w:val="18"/>
                <w:szCs w:val="18"/>
              </w:rPr>
              <w:t>0(d)(1))</w:t>
            </w:r>
          </w:p>
        </w:tc>
        <w:tc>
          <w:tcPr>
            <w:tcW w:w="660" w:type="dxa"/>
          </w:tcPr>
          <w:p w14:paraId="69981B9C" w14:textId="77777777" w:rsidR="003D07CA" w:rsidRPr="00637580" w:rsidRDefault="003D07CA" w:rsidP="003E1F68">
            <w:pPr>
              <w:spacing w:before="40" w:after="40"/>
              <w:jc w:val="center"/>
              <w:rPr>
                <w:rFonts w:ascii="Arial" w:hAnsi="Arial" w:cs="Arial"/>
                <w:sz w:val="18"/>
                <w:szCs w:val="18"/>
              </w:rPr>
            </w:pPr>
          </w:p>
        </w:tc>
        <w:tc>
          <w:tcPr>
            <w:tcW w:w="660" w:type="dxa"/>
          </w:tcPr>
          <w:p w14:paraId="69981B9D" w14:textId="77777777" w:rsidR="003D07CA" w:rsidRPr="00637580" w:rsidRDefault="003D07CA" w:rsidP="003E1F68">
            <w:pPr>
              <w:spacing w:before="40" w:after="40"/>
              <w:jc w:val="center"/>
              <w:rPr>
                <w:rFonts w:ascii="Arial" w:hAnsi="Arial" w:cs="Arial"/>
                <w:sz w:val="18"/>
                <w:szCs w:val="18"/>
              </w:rPr>
            </w:pPr>
          </w:p>
        </w:tc>
        <w:tc>
          <w:tcPr>
            <w:tcW w:w="660" w:type="dxa"/>
          </w:tcPr>
          <w:p w14:paraId="69981B9E" w14:textId="77777777" w:rsidR="003D07CA" w:rsidRPr="00637580" w:rsidRDefault="003D07CA" w:rsidP="003E1F68">
            <w:pPr>
              <w:spacing w:before="40" w:after="40"/>
              <w:jc w:val="center"/>
              <w:rPr>
                <w:rFonts w:ascii="Arial" w:hAnsi="Arial" w:cs="Arial"/>
                <w:sz w:val="18"/>
                <w:szCs w:val="18"/>
              </w:rPr>
            </w:pPr>
          </w:p>
        </w:tc>
      </w:tr>
      <w:tr w:rsidR="003D07CA" w:rsidRPr="00637580" w14:paraId="69981BA4" w14:textId="77777777" w:rsidTr="003E1F68">
        <w:tc>
          <w:tcPr>
            <w:tcW w:w="7020" w:type="dxa"/>
          </w:tcPr>
          <w:p w14:paraId="69981BA0" w14:textId="77777777" w:rsidR="003D07CA" w:rsidRPr="00637580" w:rsidRDefault="00370FA8" w:rsidP="00525B7F">
            <w:pPr>
              <w:pStyle w:val="ChecklistBullet1"/>
              <w:numPr>
                <w:ilvl w:val="0"/>
                <w:numId w:val="125"/>
              </w:numPr>
              <w:tabs>
                <w:tab w:val="clear" w:pos="3600"/>
              </w:tabs>
              <w:ind w:left="882"/>
              <w:rPr>
                <w:rFonts w:ascii="Arial" w:hAnsi="Arial" w:cs="Arial"/>
                <w:sz w:val="18"/>
                <w:szCs w:val="18"/>
              </w:rPr>
            </w:pPr>
            <w:r>
              <w:rPr>
                <w:rFonts w:ascii="Arial" w:hAnsi="Arial" w:cs="Arial"/>
                <w:sz w:val="18"/>
                <w:szCs w:val="18"/>
              </w:rPr>
              <w:t>T</w:t>
            </w:r>
            <w:r w:rsidR="003D07CA" w:rsidRPr="00637580">
              <w:rPr>
                <w:rFonts w:ascii="Arial" w:hAnsi="Arial" w:cs="Arial"/>
                <w:sz w:val="18"/>
                <w:szCs w:val="18"/>
              </w:rPr>
              <w:t xml:space="preserve">he notice is sent at least 10 days before the scheduled date of transfer? (12 CFR 1005.10(d)(1)) </w:t>
            </w:r>
          </w:p>
        </w:tc>
        <w:tc>
          <w:tcPr>
            <w:tcW w:w="660" w:type="dxa"/>
          </w:tcPr>
          <w:p w14:paraId="69981BA1" w14:textId="77777777" w:rsidR="003D07CA" w:rsidRPr="00637580" w:rsidRDefault="003D07CA" w:rsidP="003E1F68">
            <w:pPr>
              <w:spacing w:before="40" w:after="40"/>
              <w:jc w:val="center"/>
              <w:rPr>
                <w:rFonts w:ascii="Arial" w:hAnsi="Arial" w:cs="Arial"/>
                <w:sz w:val="18"/>
                <w:szCs w:val="18"/>
              </w:rPr>
            </w:pPr>
          </w:p>
        </w:tc>
        <w:tc>
          <w:tcPr>
            <w:tcW w:w="660" w:type="dxa"/>
          </w:tcPr>
          <w:p w14:paraId="69981BA2" w14:textId="77777777" w:rsidR="003D07CA" w:rsidRPr="00637580" w:rsidRDefault="003D07CA" w:rsidP="003E1F68">
            <w:pPr>
              <w:spacing w:before="40" w:after="40"/>
              <w:jc w:val="center"/>
              <w:rPr>
                <w:rFonts w:ascii="Arial" w:hAnsi="Arial" w:cs="Arial"/>
                <w:sz w:val="18"/>
                <w:szCs w:val="18"/>
              </w:rPr>
            </w:pPr>
          </w:p>
        </w:tc>
        <w:tc>
          <w:tcPr>
            <w:tcW w:w="660" w:type="dxa"/>
          </w:tcPr>
          <w:p w14:paraId="69981BA3" w14:textId="77777777" w:rsidR="003D07CA" w:rsidRPr="00637580" w:rsidRDefault="003D07CA" w:rsidP="003E1F68">
            <w:pPr>
              <w:spacing w:before="40" w:after="40"/>
              <w:jc w:val="center"/>
              <w:rPr>
                <w:rFonts w:ascii="Arial" w:hAnsi="Arial" w:cs="Arial"/>
                <w:sz w:val="18"/>
                <w:szCs w:val="18"/>
              </w:rPr>
            </w:pPr>
          </w:p>
        </w:tc>
      </w:tr>
      <w:tr w:rsidR="003D07CA" w:rsidRPr="00637580" w14:paraId="69981BA9" w14:textId="77777777" w:rsidTr="003E1F68">
        <w:tc>
          <w:tcPr>
            <w:tcW w:w="7020" w:type="dxa"/>
          </w:tcPr>
          <w:p w14:paraId="69981BA5" w14:textId="77777777" w:rsidR="003D07CA" w:rsidRPr="007C7C6F"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Does the financial institution not condition an extension of credit to a consumer on the repayment of loans by preauthorized EFT, except for credit extended under an overdraft credit plan or extended to maintain a specified minimum balance in the consumer’s account?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1005.10(e)(1))</w:t>
            </w:r>
          </w:p>
        </w:tc>
        <w:tc>
          <w:tcPr>
            <w:tcW w:w="660" w:type="dxa"/>
          </w:tcPr>
          <w:p w14:paraId="69981BA6" w14:textId="77777777" w:rsidR="003D07CA" w:rsidRPr="007C7C6F" w:rsidRDefault="003D07CA" w:rsidP="003E1F68">
            <w:pPr>
              <w:spacing w:before="40" w:after="40"/>
              <w:jc w:val="center"/>
              <w:rPr>
                <w:rFonts w:ascii="Arial" w:hAnsi="Arial" w:cs="Arial"/>
                <w:sz w:val="18"/>
                <w:szCs w:val="18"/>
              </w:rPr>
            </w:pPr>
          </w:p>
        </w:tc>
        <w:tc>
          <w:tcPr>
            <w:tcW w:w="660" w:type="dxa"/>
          </w:tcPr>
          <w:p w14:paraId="69981BA7" w14:textId="77777777" w:rsidR="003D07CA" w:rsidRPr="007C7C6F" w:rsidRDefault="003D07CA" w:rsidP="003E1F68">
            <w:pPr>
              <w:spacing w:before="40" w:after="40"/>
              <w:jc w:val="center"/>
              <w:rPr>
                <w:rFonts w:ascii="Arial" w:hAnsi="Arial" w:cs="Arial"/>
                <w:sz w:val="18"/>
                <w:szCs w:val="18"/>
              </w:rPr>
            </w:pPr>
          </w:p>
        </w:tc>
        <w:tc>
          <w:tcPr>
            <w:tcW w:w="660" w:type="dxa"/>
          </w:tcPr>
          <w:p w14:paraId="69981BA8" w14:textId="77777777" w:rsidR="003D07CA" w:rsidRPr="00637580" w:rsidRDefault="003D07CA" w:rsidP="003E1F68">
            <w:pPr>
              <w:spacing w:before="40" w:after="40"/>
              <w:jc w:val="center"/>
              <w:rPr>
                <w:rFonts w:ascii="Arial" w:hAnsi="Arial" w:cs="Arial"/>
                <w:sz w:val="18"/>
                <w:szCs w:val="18"/>
              </w:rPr>
            </w:pPr>
          </w:p>
        </w:tc>
      </w:tr>
    </w:tbl>
    <w:p w14:paraId="69981BAA" w14:textId="77777777" w:rsidR="003D07CA" w:rsidRPr="00D7575F" w:rsidRDefault="003D07CA" w:rsidP="003D07CA">
      <w:pPr>
        <w:rPr>
          <w:rFonts w:ascii="Arial" w:hAnsi="Arial" w:cs="Arial"/>
          <w:sz w:val="18"/>
          <w:szCs w:val="18"/>
        </w:rPr>
      </w:pPr>
      <w:r w:rsidRPr="00D7575F">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BAF" w14:textId="77777777" w:rsidTr="003E1F68">
        <w:trPr>
          <w:tblHeader/>
        </w:trPr>
        <w:tc>
          <w:tcPr>
            <w:tcW w:w="7020" w:type="dxa"/>
            <w:tcBorders>
              <w:bottom w:val="single" w:sz="4" w:space="0" w:color="auto"/>
            </w:tcBorders>
          </w:tcPr>
          <w:p w14:paraId="69981BAB"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tcBorders>
              <w:bottom w:val="single" w:sz="4" w:space="0" w:color="auto"/>
            </w:tcBorders>
          </w:tcPr>
          <w:p w14:paraId="69981BAC"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tcBorders>
              <w:bottom w:val="single" w:sz="4" w:space="0" w:color="auto"/>
            </w:tcBorders>
          </w:tcPr>
          <w:p w14:paraId="69981BAD"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No</w:t>
            </w:r>
          </w:p>
        </w:tc>
        <w:tc>
          <w:tcPr>
            <w:tcW w:w="660" w:type="dxa"/>
            <w:tcBorders>
              <w:bottom w:val="single" w:sz="4" w:space="0" w:color="auto"/>
            </w:tcBorders>
          </w:tcPr>
          <w:p w14:paraId="69981BAE"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BB4" w14:textId="77777777" w:rsidTr="003E1F68">
        <w:tc>
          <w:tcPr>
            <w:tcW w:w="7020" w:type="dxa"/>
            <w:tcBorders>
              <w:bottom w:val="single" w:sz="4" w:space="0" w:color="auto"/>
            </w:tcBorders>
          </w:tcPr>
          <w:p w14:paraId="69981BB0"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Does the financial institution not require a consumer to establish an account for EFTs with a particular institution as a condition of employment or receipt of government benefits? (12 CFR 1005.10(e)(2))</w:t>
            </w:r>
          </w:p>
        </w:tc>
        <w:tc>
          <w:tcPr>
            <w:tcW w:w="660" w:type="dxa"/>
            <w:tcBorders>
              <w:bottom w:val="single" w:sz="4" w:space="0" w:color="auto"/>
            </w:tcBorders>
          </w:tcPr>
          <w:p w14:paraId="69981BB1"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BB2"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BB3" w14:textId="77777777" w:rsidR="003D07CA" w:rsidRPr="00637580" w:rsidRDefault="003D07CA" w:rsidP="003E1F68">
            <w:pPr>
              <w:spacing w:before="40" w:after="40"/>
              <w:jc w:val="center"/>
              <w:rPr>
                <w:rFonts w:ascii="Arial" w:hAnsi="Arial" w:cs="Arial"/>
                <w:sz w:val="18"/>
                <w:szCs w:val="18"/>
              </w:rPr>
            </w:pPr>
          </w:p>
        </w:tc>
      </w:tr>
      <w:tr w:rsidR="003D07CA" w:rsidRPr="00637580" w14:paraId="69981BB9" w14:textId="77777777" w:rsidTr="003E1F68">
        <w:tc>
          <w:tcPr>
            <w:tcW w:w="7020" w:type="dxa"/>
            <w:shd w:val="clear" w:color="auto" w:fill="D9D9D9" w:themeFill="background1" w:themeFillShade="D9"/>
            <w:vAlign w:val="center"/>
          </w:tcPr>
          <w:p w14:paraId="69981BB5" w14:textId="77777777" w:rsidR="003D07CA" w:rsidRPr="00637580" w:rsidRDefault="00155765" w:rsidP="003E1F68">
            <w:pPr>
              <w:spacing w:before="40" w:after="40"/>
              <w:rPr>
                <w:rFonts w:ascii="Arial" w:hAnsi="Arial" w:cs="Arial"/>
                <w:b/>
                <w:sz w:val="18"/>
                <w:szCs w:val="18"/>
              </w:rPr>
            </w:pPr>
            <w:r>
              <w:rPr>
                <w:rFonts w:ascii="Arial" w:hAnsi="Arial" w:cs="Arial"/>
                <w:b/>
                <w:sz w:val="18"/>
                <w:szCs w:val="18"/>
              </w:rPr>
              <w:t>12 CFR</w:t>
            </w:r>
            <w:r w:rsidR="003D07CA" w:rsidRPr="00637580">
              <w:rPr>
                <w:rFonts w:ascii="Arial" w:hAnsi="Arial" w:cs="Arial"/>
                <w:b/>
                <w:sz w:val="18"/>
                <w:szCs w:val="18"/>
              </w:rPr>
              <w:t xml:space="preserve"> 1005.11 – Procedures for Resolving Errors </w:t>
            </w:r>
          </w:p>
        </w:tc>
        <w:tc>
          <w:tcPr>
            <w:tcW w:w="660" w:type="dxa"/>
            <w:shd w:val="clear" w:color="auto" w:fill="D9D9D9" w:themeFill="background1" w:themeFillShade="D9"/>
          </w:tcPr>
          <w:p w14:paraId="69981BB6"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B7"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B8"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BBE" w14:textId="77777777" w:rsidTr="003E1F68">
        <w:tc>
          <w:tcPr>
            <w:tcW w:w="7020" w:type="dxa"/>
          </w:tcPr>
          <w:p w14:paraId="69981BBA"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Does the financial institution have procedures to investigate and resolve all oral or written notices of error received no later than 60 days after the institution sends the periodic statement or provides passbook documentation? (12 CFR 1005.11(b)(2))</w:t>
            </w:r>
          </w:p>
        </w:tc>
        <w:tc>
          <w:tcPr>
            <w:tcW w:w="660" w:type="dxa"/>
          </w:tcPr>
          <w:p w14:paraId="69981BBB" w14:textId="77777777" w:rsidR="003D07CA" w:rsidRPr="00637580" w:rsidRDefault="003D07CA" w:rsidP="003E1F68">
            <w:pPr>
              <w:spacing w:before="40" w:after="40"/>
              <w:jc w:val="center"/>
              <w:rPr>
                <w:rFonts w:ascii="Arial" w:hAnsi="Arial" w:cs="Arial"/>
                <w:sz w:val="18"/>
                <w:szCs w:val="18"/>
              </w:rPr>
            </w:pPr>
          </w:p>
        </w:tc>
        <w:tc>
          <w:tcPr>
            <w:tcW w:w="660" w:type="dxa"/>
          </w:tcPr>
          <w:p w14:paraId="69981BBC" w14:textId="77777777" w:rsidR="003D07CA" w:rsidRPr="00637580" w:rsidRDefault="003D07CA" w:rsidP="003E1F68">
            <w:pPr>
              <w:spacing w:before="40" w:after="40"/>
              <w:jc w:val="center"/>
              <w:rPr>
                <w:rFonts w:ascii="Arial" w:hAnsi="Arial" w:cs="Arial"/>
                <w:sz w:val="18"/>
                <w:szCs w:val="18"/>
              </w:rPr>
            </w:pPr>
          </w:p>
        </w:tc>
        <w:tc>
          <w:tcPr>
            <w:tcW w:w="660" w:type="dxa"/>
          </w:tcPr>
          <w:p w14:paraId="69981BBD" w14:textId="77777777" w:rsidR="003D07CA" w:rsidRPr="00637580" w:rsidRDefault="003D07CA" w:rsidP="003E1F68">
            <w:pPr>
              <w:spacing w:before="40" w:after="40"/>
              <w:jc w:val="center"/>
              <w:rPr>
                <w:rFonts w:ascii="Arial" w:hAnsi="Arial" w:cs="Arial"/>
                <w:sz w:val="18"/>
                <w:szCs w:val="18"/>
              </w:rPr>
            </w:pPr>
          </w:p>
        </w:tc>
      </w:tr>
      <w:tr w:rsidR="003D07CA" w:rsidRPr="00637580" w14:paraId="69981BC3" w14:textId="77777777" w:rsidTr="003E1F68">
        <w:tc>
          <w:tcPr>
            <w:tcW w:w="7020" w:type="dxa"/>
          </w:tcPr>
          <w:p w14:paraId="69981BBF"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If the financial institution requires written confirmation of an error within 10 business days of an oral notice, does the financial institution inform the consumer of this requirement and provide the address where the written confirmation must be sent? (12 CFR 1005.11(b)(2))</w:t>
            </w:r>
          </w:p>
        </w:tc>
        <w:tc>
          <w:tcPr>
            <w:tcW w:w="660" w:type="dxa"/>
          </w:tcPr>
          <w:p w14:paraId="69981BC0" w14:textId="77777777" w:rsidR="003D07CA" w:rsidRPr="00637580" w:rsidRDefault="003D07CA" w:rsidP="003E1F68">
            <w:pPr>
              <w:spacing w:before="40" w:after="40"/>
              <w:jc w:val="center"/>
              <w:rPr>
                <w:rFonts w:ascii="Arial" w:hAnsi="Arial" w:cs="Arial"/>
                <w:sz w:val="18"/>
                <w:szCs w:val="18"/>
              </w:rPr>
            </w:pPr>
          </w:p>
        </w:tc>
        <w:tc>
          <w:tcPr>
            <w:tcW w:w="660" w:type="dxa"/>
          </w:tcPr>
          <w:p w14:paraId="69981BC1" w14:textId="77777777" w:rsidR="003D07CA" w:rsidRPr="00637580" w:rsidRDefault="003D07CA" w:rsidP="003E1F68">
            <w:pPr>
              <w:spacing w:before="40" w:after="40"/>
              <w:jc w:val="center"/>
              <w:rPr>
                <w:rFonts w:ascii="Arial" w:hAnsi="Arial" w:cs="Arial"/>
                <w:sz w:val="18"/>
                <w:szCs w:val="18"/>
              </w:rPr>
            </w:pPr>
          </w:p>
        </w:tc>
        <w:tc>
          <w:tcPr>
            <w:tcW w:w="660" w:type="dxa"/>
          </w:tcPr>
          <w:p w14:paraId="69981BC2" w14:textId="77777777" w:rsidR="003D07CA" w:rsidRPr="00637580" w:rsidRDefault="003D07CA" w:rsidP="003E1F68">
            <w:pPr>
              <w:spacing w:before="40" w:after="40"/>
              <w:jc w:val="center"/>
              <w:rPr>
                <w:rFonts w:ascii="Arial" w:hAnsi="Arial" w:cs="Arial"/>
                <w:sz w:val="18"/>
                <w:szCs w:val="18"/>
              </w:rPr>
            </w:pPr>
          </w:p>
        </w:tc>
      </w:tr>
      <w:tr w:rsidR="003D07CA" w:rsidRPr="00637580" w14:paraId="69981BC8" w14:textId="77777777" w:rsidTr="003E1F68">
        <w:tc>
          <w:tcPr>
            <w:tcW w:w="7020" w:type="dxa"/>
          </w:tcPr>
          <w:p w14:paraId="69981BC4"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 xml:space="preserve">Does the financial institution have procedures to investigate and resolve alleged errors within 10 business days, except as otherwise provided in </w:t>
            </w:r>
            <w:r w:rsidRPr="00637580">
              <w:rPr>
                <w:rFonts w:ascii="Arial" w:hAnsi="Arial" w:cs="Arial"/>
                <w:sz w:val="18"/>
                <w:szCs w:val="18"/>
              </w:rPr>
              <w:br/>
              <w:t>12 CFR 1005.11(c)? (12 CFR 1005.11(c)(1))</w:t>
            </w:r>
          </w:p>
        </w:tc>
        <w:tc>
          <w:tcPr>
            <w:tcW w:w="660" w:type="dxa"/>
          </w:tcPr>
          <w:p w14:paraId="69981BC5" w14:textId="77777777" w:rsidR="003D07CA" w:rsidRPr="00637580" w:rsidRDefault="003D07CA" w:rsidP="003E1F68">
            <w:pPr>
              <w:spacing w:before="40" w:after="40"/>
              <w:jc w:val="center"/>
              <w:rPr>
                <w:rFonts w:ascii="Arial" w:hAnsi="Arial" w:cs="Arial"/>
                <w:sz w:val="18"/>
                <w:szCs w:val="18"/>
              </w:rPr>
            </w:pPr>
          </w:p>
        </w:tc>
        <w:tc>
          <w:tcPr>
            <w:tcW w:w="660" w:type="dxa"/>
          </w:tcPr>
          <w:p w14:paraId="69981BC6" w14:textId="77777777" w:rsidR="003D07CA" w:rsidRPr="00637580" w:rsidRDefault="003D07CA" w:rsidP="003E1F68">
            <w:pPr>
              <w:spacing w:before="40" w:after="40"/>
              <w:jc w:val="center"/>
              <w:rPr>
                <w:rFonts w:ascii="Arial" w:hAnsi="Arial" w:cs="Arial"/>
                <w:sz w:val="18"/>
                <w:szCs w:val="18"/>
              </w:rPr>
            </w:pPr>
          </w:p>
        </w:tc>
        <w:tc>
          <w:tcPr>
            <w:tcW w:w="660" w:type="dxa"/>
          </w:tcPr>
          <w:p w14:paraId="69981BC7" w14:textId="77777777" w:rsidR="003D07CA" w:rsidRPr="00637580" w:rsidRDefault="003D07CA" w:rsidP="003E1F68">
            <w:pPr>
              <w:spacing w:before="40" w:after="40"/>
              <w:jc w:val="center"/>
              <w:rPr>
                <w:rFonts w:ascii="Arial" w:hAnsi="Arial" w:cs="Arial"/>
                <w:sz w:val="18"/>
                <w:szCs w:val="18"/>
              </w:rPr>
            </w:pPr>
          </w:p>
        </w:tc>
      </w:tr>
      <w:tr w:rsidR="003D07CA" w:rsidRPr="00637580" w14:paraId="69981BCD" w14:textId="77777777" w:rsidTr="003E1F68">
        <w:tc>
          <w:tcPr>
            <w:tcW w:w="7020" w:type="dxa"/>
          </w:tcPr>
          <w:p w14:paraId="69981BC9"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Does the financial institution report investigation results to the consumer within three business days after completing its investigation and correct any error within one business day after determining that an error occurred?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1005.11(c)(1))</w:t>
            </w:r>
          </w:p>
        </w:tc>
        <w:tc>
          <w:tcPr>
            <w:tcW w:w="660" w:type="dxa"/>
            <w:tcBorders>
              <w:bottom w:val="single" w:sz="4" w:space="0" w:color="auto"/>
            </w:tcBorders>
          </w:tcPr>
          <w:p w14:paraId="69981BCA"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BCB"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BCC" w14:textId="77777777" w:rsidR="003D07CA" w:rsidRPr="00637580" w:rsidRDefault="003D07CA" w:rsidP="003E1F68">
            <w:pPr>
              <w:spacing w:before="40" w:after="40"/>
              <w:jc w:val="center"/>
              <w:rPr>
                <w:rFonts w:ascii="Arial" w:hAnsi="Arial" w:cs="Arial"/>
                <w:sz w:val="18"/>
                <w:szCs w:val="18"/>
              </w:rPr>
            </w:pPr>
          </w:p>
        </w:tc>
      </w:tr>
      <w:tr w:rsidR="003D07CA" w:rsidRPr="00637580" w14:paraId="69981BD2" w14:textId="77777777" w:rsidTr="003E1F68">
        <w:tc>
          <w:tcPr>
            <w:tcW w:w="7020" w:type="dxa"/>
          </w:tcPr>
          <w:p w14:paraId="69981BCE" w14:textId="77777777" w:rsidR="003D07CA" w:rsidRPr="00637580" w:rsidRDefault="003D07CA" w:rsidP="00525B7F">
            <w:pPr>
              <w:pStyle w:val="Checklist1"/>
              <w:numPr>
                <w:ilvl w:val="0"/>
                <w:numId w:val="90"/>
              </w:numPr>
              <w:spacing w:before="40" w:after="40"/>
              <w:ind w:left="522" w:hanging="540"/>
              <w:rPr>
                <w:rFonts w:ascii="Arial" w:hAnsi="Arial" w:cs="Arial"/>
                <w:b/>
                <w:bCs/>
                <w:color w:val="000000"/>
                <w:sz w:val="18"/>
                <w:szCs w:val="18"/>
              </w:rPr>
            </w:pPr>
            <w:r w:rsidRPr="00637580">
              <w:rPr>
                <w:rFonts w:ascii="Arial" w:hAnsi="Arial" w:cs="Arial"/>
                <w:sz w:val="18"/>
                <w:szCs w:val="18"/>
              </w:rPr>
              <w:t xml:space="preserve">If the financial institution is unable to complete its investigation within 10 business days, does the financial institution have procedures to investigate and resolve alleged errors within 45 calendar days of receipt of a notice of error; </w:t>
            </w:r>
            <w:r w:rsidR="00C142D4" w:rsidRPr="00637580">
              <w:rPr>
                <w:rFonts w:ascii="Arial" w:hAnsi="Arial" w:cs="Arial"/>
                <w:sz w:val="18"/>
                <w:szCs w:val="18"/>
              </w:rPr>
              <w:t>and</w:t>
            </w:r>
            <w:r w:rsidRPr="00637580">
              <w:rPr>
                <w:rFonts w:ascii="Arial" w:hAnsi="Arial" w:cs="Arial"/>
                <w:sz w:val="18"/>
                <w:szCs w:val="18"/>
              </w:rPr>
              <w:t>:</w:t>
            </w:r>
          </w:p>
        </w:tc>
        <w:tc>
          <w:tcPr>
            <w:tcW w:w="660" w:type="dxa"/>
            <w:shd w:val="clear" w:color="auto" w:fill="D9D9D9" w:themeFill="background1" w:themeFillShade="D9"/>
          </w:tcPr>
          <w:p w14:paraId="69981BCF"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D0"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D1"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BD7" w14:textId="77777777" w:rsidTr="003E1F68">
        <w:tc>
          <w:tcPr>
            <w:tcW w:w="7020" w:type="dxa"/>
          </w:tcPr>
          <w:p w14:paraId="69981BD3" w14:textId="77777777" w:rsidR="003D07CA" w:rsidRPr="00637580" w:rsidRDefault="003D07CA" w:rsidP="00525B7F">
            <w:pPr>
              <w:pStyle w:val="ChecklistBullet1"/>
              <w:numPr>
                <w:ilvl w:val="0"/>
                <w:numId w:val="126"/>
              </w:numPr>
              <w:tabs>
                <w:tab w:val="clear" w:pos="3600"/>
              </w:tabs>
              <w:ind w:left="882"/>
              <w:rPr>
                <w:rFonts w:ascii="Arial" w:hAnsi="Arial" w:cs="Arial"/>
                <w:b/>
                <w:bCs/>
                <w:color w:val="000000"/>
                <w:sz w:val="18"/>
                <w:szCs w:val="18"/>
              </w:rPr>
            </w:pPr>
            <w:r w:rsidRPr="00637580">
              <w:rPr>
                <w:rFonts w:ascii="Arial" w:hAnsi="Arial" w:cs="Arial"/>
                <w:sz w:val="18"/>
                <w:szCs w:val="18"/>
              </w:rPr>
              <w:t>Does the financial institution provisionally credit the consumer’s account in the amount of the alleged error (including interest, if applicable) within 10 business days of receiving the error notice (however, if the financial institution requires, but does not receive, written confirmation within 10 business days, the financial institution is not required to provisionally credit the consumer’s account)?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1005.11(c)(2)(i))</w:t>
            </w:r>
          </w:p>
        </w:tc>
        <w:tc>
          <w:tcPr>
            <w:tcW w:w="660" w:type="dxa"/>
          </w:tcPr>
          <w:p w14:paraId="69981BD4" w14:textId="77777777" w:rsidR="003D07CA" w:rsidRPr="00637580" w:rsidRDefault="003D07CA" w:rsidP="003E1F68">
            <w:pPr>
              <w:spacing w:before="40" w:after="40"/>
              <w:jc w:val="center"/>
              <w:rPr>
                <w:rFonts w:ascii="Arial" w:hAnsi="Arial" w:cs="Arial"/>
                <w:sz w:val="18"/>
                <w:szCs w:val="18"/>
              </w:rPr>
            </w:pPr>
          </w:p>
        </w:tc>
        <w:tc>
          <w:tcPr>
            <w:tcW w:w="660" w:type="dxa"/>
          </w:tcPr>
          <w:p w14:paraId="69981BD5" w14:textId="77777777" w:rsidR="003D07CA" w:rsidRPr="00637580" w:rsidRDefault="003D07CA" w:rsidP="003E1F68">
            <w:pPr>
              <w:spacing w:before="40" w:after="40"/>
              <w:jc w:val="center"/>
              <w:rPr>
                <w:rFonts w:ascii="Arial" w:hAnsi="Arial" w:cs="Arial"/>
                <w:sz w:val="18"/>
                <w:szCs w:val="18"/>
              </w:rPr>
            </w:pPr>
          </w:p>
        </w:tc>
        <w:tc>
          <w:tcPr>
            <w:tcW w:w="660" w:type="dxa"/>
          </w:tcPr>
          <w:p w14:paraId="69981BD6" w14:textId="77777777" w:rsidR="003D07CA" w:rsidRPr="00637580" w:rsidRDefault="003D07CA" w:rsidP="003E1F68">
            <w:pPr>
              <w:spacing w:before="40" w:after="40"/>
              <w:jc w:val="center"/>
              <w:rPr>
                <w:rFonts w:ascii="Arial" w:hAnsi="Arial" w:cs="Arial"/>
                <w:sz w:val="18"/>
                <w:szCs w:val="18"/>
              </w:rPr>
            </w:pPr>
          </w:p>
        </w:tc>
      </w:tr>
      <w:tr w:rsidR="003D07CA" w:rsidRPr="00637580" w14:paraId="69981BDC" w14:textId="77777777" w:rsidTr="003E1F68">
        <w:tc>
          <w:tcPr>
            <w:tcW w:w="7020" w:type="dxa"/>
          </w:tcPr>
          <w:p w14:paraId="69981BD8" w14:textId="77777777" w:rsidR="003D07CA" w:rsidRPr="00637580" w:rsidRDefault="003D07CA" w:rsidP="00525B7F">
            <w:pPr>
              <w:pStyle w:val="ChecklistBullet1"/>
              <w:numPr>
                <w:ilvl w:val="0"/>
                <w:numId w:val="126"/>
              </w:numPr>
              <w:tabs>
                <w:tab w:val="clear" w:pos="3600"/>
              </w:tabs>
              <w:ind w:left="882"/>
              <w:rPr>
                <w:rFonts w:ascii="Arial" w:hAnsi="Arial" w:cs="Arial"/>
                <w:sz w:val="18"/>
                <w:szCs w:val="18"/>
              </w:rPr>
            </w:pPr>
            <w:r w:rsidRPr="00637580">
              <w:rPr>
                <w:rFonts w:ascii="Arial" w:hAnsi="Arial" w:cs="Arial"/>
                <w:sz w:val="18"/>
                <w:szCs w:val="18"/>
              </w:rPr>
              <w:t xml:space="preserve">Within two business days after granting any provisional credit, does the financial institution inform the consumer of the amount and date of the provisional credit and give the consumer full use of the funds during the investigation? (12 CFR 1005.11(c)(2)(ii)) </w:t>
            </w:r>
          </w:p>
        </w:tc>
        <w:tc>
          <w:tcPr>
            <w:tcW w:w="660" w:type="dxa"/>
          </w:tcPr>
          <w:p w14:paraId="69981BD9" w14:textId="77777777" w:rsidR="003D07CA" w:rsidRPr="00637580" w:rsidRDefault="003D07CA" w:rsidP="003E1F68">
            <w:pPr>
              <w:spacing w:before="40" w:after="40"/>
              <w:jc w:val="center"/>
              <w:rPr>
                <w:rFonts w:ascii="Arial" w:hAnsi="Arial" w:cs="Arial"/>
                <w:sz w:val="18"/>
                <w:szCs w:val="18"/>
              </w:rPr>
            </w:pPr>
          </w:p>
        </w:tc>
        <w:tc>
          <w:tcPr>
            <w:tcW w:w="660" w:type="dxa"/>
          </w:tcPr>
          <w:p w14:paraId="69981BDA" w14:textId="77777777" w:rsidR="003D07CA" w:rsidRPr="00637580" w:rsidRDefault="003D07CA" w:rsidP="003E1F68">
            <w:pPr>
              <w:spacing w:before="40" w:after="40"/>
              <w:jc w:val="center"/>
              <w:rPr>
                <w:rFonts w:ascii="Arial" w:hAnsi="Arial" w:cs="Arial"/>
                <w:sz w:val="18"/>
                <w:szCs w:val="18"/>
              </w:rPr>
            </w:pPr>
          </w:p>
        </w:tc>
        <w:tc>
          <w:tcPr>
            <w:tcW w:w="660" w:type="dxa"/>
          </w:tcPr>
          <w:p w14:paraId="69981BDB" w14:textId="77777777" w:rsidR="003D07CA" w:rsidRPr="00637580" w:rsidRDefault="003D07CA" w:rsidP="003E1F68">
            <w:pPr>
              <w:spacing w:before="40" w:after="40"/>
              <w:jc w:val="center"/>
              <w:rPr>
                <w:rFonts w:ascii="Arial" w:hAnsi="Arial" w:cs="Arial"/>
                <w:sz w:val="18"/>
                <w:szCs w:val="18"/>
              </w:rPr>
            </w:pPr>
          </w:p>
        </w:tc>
      </w:tr>
      <w:tr w:rsidR="003D07CA" w:rsidRPr="00637580" w14:paraId="69981BE1" w14:textId="77777777" w:rsidTr="003E1F68">
        <w:tc>
          <w:tcPr>
            <w:tcW w:w="7020" w:type="dxa"/>
          </w:tcPr>
          <w:p w14:paraId="69981BDD" w14:textId="77777777" w:rsidR="003D07CA" w:rsidRPr="00637580" w:rsidRDefault="003D07CA" w:rsidP="00525B7F">
            <w:pPr>
              <w:pStyle w:val="ChecklistBullet1"/>
              <w:numPr>
                <w:ilvl w:val="0"/>
                <w:numId w:val="126"/>
              </w:numPr>
              <w:tabs>
                <w:tab w:val="clear" w:pos="3600"/>
              </w:tabs>
              <w:ind w:left="882"/>
              <w:rPr>
                <w:rFonts w:ascii="Arial" w:hAnsi="Arial" w:cs="Arial"/>
                <w:sz w:val="18"/>
                <w:szCs w:val="18"/>
              </w:rPr>
            </w:pPr>
            <w:r w:rsidRPr="00637580">
              <w:rPr>
                <w:rFonts w:ascii="Arial" w:hAnsi="Arial" w:cs="Arial"/>
                <w:sz w:val="18"/>
                <w:szCs w:val="18"/>
              </w:rPr>
              <w:t>Within one business day after determining that an error occurred, does the financial institution correct the error? and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1005.11(c)(2)(iii))</w:t>
            </w:r>
          </w:p>
        </w:tc>
        <w:tc>
          <w:tcPr>
            <w:tcW w:w="660" w:type="dxa"/>
          </w:tcPr>
          <w:p w14:paraId="69981BDE" w14:textId="77777777" w:rsidR="003D07CA" w:rsidRPr="00637580" w:rsidRDefault="003D07CA" w:rsidP="003E1F68">
            <w:pPr>
              <w:spacing w:before="40" w:after="40"/>
              <w:jc w:val="center"/>
              <w:rPr>
                <w:rFonts w:ascii="Arial" w:hAnsi="Arial" w:cs="Arial"/>
                <w:sz w:val="18"/>
                <w:szCs w:val="18"/>
              </w:rPr>
            </w:pPr>
          </w:p>
        </w:tc>
        <w:tc>
          <w:tcPr>
            <w:tcW w:w="660" w:type="dxa"/>
          </w:tcPr>
          <w:p w14:paraId="69981BDF" w14:textId="77777777" w:rsidR="003D07CA" w:rsidRPr="00637580" w:rsidRDefault="003D07CA" w:rsidP="003E1F68">
            <w:pPr>
              <w:spacing w:before="40" w:after="40"/>
              <w:jc w:val="center"/>
              <w:rPr>
                <w:rFonts w:ascii="Arial" w:hAnsi="Arial" w:cs="Arial"/>
                <w:sz w:val="18"/>
                <w:szCs w:val="18"/>
              </w:rPr>
            </w:pPr>
          </w:p>
        </w:tc>
        <w:tc>
          <w:tcPr>
            <w:tcW w:w="660" w:type="dxa"/>
          </w:tcPr>
          <w:p w14:paraId="69981BE0" w14:textId="77777777" w:rsidR="003D07CA" w:rsidRPr="00637580" w:rsidRDefault="003D07CA" w:rsidP="003E1F68">
            <w:pPr>
              <w:spacing w:before="40" w:after="40"/>
              <w:jc w:val="center"/>
              <w:rPr>
                <w:rFonts w:ascii="Arial" w:hAnsi="Arial" w:cs="Arial"/>
                <w:sz w:val="18"/>
                <w:szCs w:val="18"/>
              </w:rPr>
            </w:pPr>
          </w:p>
        </w:tc>
      </w:tr>
      <w:tr w:rsidR="003D07CA" w:rsidRPr="00637580" w14:paraId="69981BE6" w14:textId="77777777" w:rsidTr="003E1F68">
        <w:tc>
          <w:tcPr>
            <w:tcW w:w="7020" w:type="dxa"/>
          </w:tcPr>
          <w:p w14:paraId="69981BE2" w14:textId="77777777" w:rsidR="003D07CA" w:rsidRPr="00637580" w:rsidRDefault="003D07CA" w:rsidP="00525B7F">
            <w:pPr>
              <w:pStyle w:val="ChecklistBullet1"/>
              <w:numPr>
                <w:ilvl w:val="0"/>
                <w:numId w:val="126"/>
              </w:numPr>
              <w:tabs>
                <w:tab w:val="clear" w:pos="3600"/>
              </w:tabs>
              <w:ind w:left="882"/>
              <w:rPr>
                <w:rFonts w:ascii="Arial" w:hAnsi="Arial" w:cs="Arial"/>
                <w:b/>
                <w:bCs/>
                <w:color w:val="000000"/>
                <w:sz w:val="18"/>
                <w:szCs w:val="18"/>
              </w:rPr>
            </w:pPr>
            <w:r w:rsidRPr="00637580">
              <w:rPr>
                <w:rFonts w:ascii="Arial" w:hAnsi="Arial" w:cs="Arial"/>
                <w:sz w:val="18"/>
                <w:szCs w:val="18"/>
              </w:rPr>
              <w:t>Does the financial institution report the results to the consumer within three business days after completing its investigation including, if applicable, notice that a provisional credit has been made final?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1005.11(c)(2)(iv))</w:t>
            </w:r>
          </w:p>
        </w:tc>
        <w:tc>
          <w:tcPr>
            <w:tcW w:w="660" w:type="dxa"/>
          </w:tcPr>
          <w:p w14:paraId="69981BE3" w14:textId="77777777" w:rsidR="003D07CA" w:rsidRPr="00637580" w:rsidRDefault="003D07CA" w:rsidP="003E1F68">
            <w:pPr>
              <w:spacing w:before="40" w:after="40"/>
              <w:jc w:val="center"/>
              <w:rPr>
                <w:rFonts w:ascii="Arial" w:hAnsi="Arial" w:cs="Arial"/>
                <w:sz w:val="18"/>
                <w:szCs w:val="18"/>
              </w:rPr>
            </w:pPr>
          </w:p>
        </w:tc>
        <w:tc>
          <w:tcPr>
            <w:tcW w:w="660" w:type="dxa"/>
          </w:tcPr>
          <w:p w14:paraId="69981BE4" w14:textId="77777777" w:rsidR="003D07CA" w:rsidRPr="00637580" w:rsidRDefault="003D07CA" w:rsidP="003E1F68">
            <w:pPr>
              <w:spacing w:before="40" w:after="40"/>
              <w:jc w:val="center"/>
              <w:rPr>
                <w:rFonts w:ascii="Arial" w:hAnsi="Arial" w:cs="Arial"/>
                <w:sz w:val="18"/>
                <w:szCs w:val="18"/>
              </w:rPr>
            </w:pPr>
          </w:p>
        </w:tc>
        <w:tc>
          <w:tcPr>
            <w:tcW w:w="660" w:type="dxa"/>
          </w:tcPr>
          <w:p w14:paraId="69981BE5" w14:textId="77777777" w:rsidR="003D07CA" w:rsidRPr="00637580" w:rsidRDefault="003D07CA" w:rsidP="003E1F68">
            <w:pPr>
              <w:spacing w:before="40" w:after="40"/>
              <w:jc w:val="center"/>
              <w:rPr>
                <w:rFonts w:ascii="Arial" w:hAnsi="Arial" w:cs="Arial"/>
                <w:sz w:val="18"/>
                <w:szCs w:val="18"/>
              </w:rPr>
            </w:pPr>
          </w:p>
        </w:tc>
      </w:tr>
      <w:tr w:rsidR="003D07CA" w:rsidRPr="00637580" w14:paraId="69981BEB" w14:textId="77777777" w:rsidTr="003E1F68">
        <w:tc>
          <w:tcPr>
            <w:tcW w:w="7020" w:type="dxa"/>
          </w:tcPr>
          <w:p w14:paraId="69981BE7" w14:textId="77777777" w:rsidR="003D07CA" w:rsidRPr="00637580"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If a billing error occurred, does the financial institution not impose a charge rel</w:t>
            </w:r>
            <w:r w:rsidR="00F02D8F">
              <w:rPr>
                <w:rFonts w:ascii="Arial" w:hAnsi="Arial" w:cs="Arial"/>
                <w:sz w:val="18"/>
                <w:szCs w:val="18"/>
              </w:rPr>
              <w:t xml:space="preserve">ated to any aspect of the error </w:t>
            </w:r>
            <w:r w:rsidRPr="00637580">
              <w:rPr>
                <w:rFonts w:ascii="Arial" w:hAnsi="Arial" w:cs="Arial"/>
                <w:sz w:val="18"/>
                <w:szCs w:val="18"/>
              </w:rPr>
              <w:t>resolution process? (staff commentary 1005.11(c)-3)</w:t>
            </w:r>
          </w:p>
        </w:tc>
        <w:tc>
          <w:tcPr>
            <w:tcW w:w="660" w:type="dxa"/>
          </w:tcPr>
          <w:p w14:paraId="69981BE8" w14:textId="77777777" w:rsidR="003D07CA" w:rsidRPr="00637580" w:rsidRDefault="003D07CA" w:rsidP="003E1F68">
            <w:pPr>
              <w:spacing w:before="40" w:after="40"/>
              <w:jc w:val="center"/>
              <w:rPr>
                <w:rFonts w:ascii="Arial" w:hAnsi="Arial" w:cs="Arial"/>
                <w:sz w:val="18"/>
                <w:szCs w:val="18"/>
              </w:rPr>
            </w:pPr>
          </w:p>
        </w:tc>
        <w:tc>
          <w:tcPr>
            <w:tcW w:w="660" w:type="dxa"/>
          </w:tcPr>
          <w:p w14:paraId="69981BE9" w14:textId="77777777" w:rsidR="003D07CA" w:rsidRPr="00637580" w:rsidRDefault="003D07CA" w:rsidP="003E1F68">
            <w:pPr>
              <w:spacing w:before="40" w:after="40"/>
              <w:jc w:val="center"/>
              <w:rPr>
                <w:rFonts w:ascii="Arial" w:hAnsi="Arial" w:cs="Arial"/>
                <w:sz w:val="18"/>
                <w:szCs w:val="18"/>
              </w:rPr>
            </w:pPr>
          </w:p>
        </w:tc>
        <w:tc>
          <w:tcPr>
            <w:tcW w:w="660" w:type="dxa"/>
          </w:tcPr>
          <w:p w14:paraId="69981BEA" w14:textId="77777777" w:rsidR="003D07CA" w:rsidRPr="00637580" w:rsidRDefault="003D07CA" w:rsidP="003E1F68">
            <w:pPr>
              <w:spacing w:before="40" w:after="40"/>
              <w:jc w:val="center"/>
              <w:rPr>
                <w:rFonts w:ascii="Arial" w:hAnsi="Arial" w:cs="Arial"/>
                <w:sz w:val="18"/>
                <w:szCs w:val="18"/>
              </w:rPr>
            </w:pPr>
          </w:p>
        </w:tc>
      </w:tr>
      <w:tr w:rsidR="003D07CA" w:rsidRPr="00637580" w14:paraId="69981BF0" w14:textId="77777777" w:rsidTr="003E1F68">
        <w:tc>
          <w:tcPr>
            <w:tcW w:w="7020" w:type="dxa"/>
          </w:tcPr>
          <w:p w14:paraId="69981BEC" w14:textId="77777777" w:rsidR="003D07CA" w:rsidRPr="007C7C6F" w:rsidRDefault="003D07CA" w:rsidP="00525B7F">
            <w:pPr>
              <w:pStyle w:val="Checklist1"/>
              <w:numPr>
                <w:ilvl w:val="0"/>
                <w:numId w:val="90"/>
              </w:numPr>
              <w:spacing w:before="40" w:after="40"/>
              <w:ind w:left="522" w:hanging="540"/>
              <w:rPr>
                <w:rFonts w:ascii="Arial" w:hAnsi="Arial" w:cs="Arial"/>
                <w:sz w:val="18"/>
                <w:szCs w:val="18"/>
              </w:rPr>
            </w:pPr>
            <w:r w:rsidRPr="00637580">
              <w:rPr>
                <w:rFonts w:ascii="Arial" w:hAnsi="Arial" w:cs="Arial"/>
                <w:sz w:val="18"/>
                <w:szCs w:val="18"/>
              </w:rPr>
              <w:t>If the financial institution determines that no error occurred (or that an error occurred in a manner or amount different from that described by the consumer), does the financial institution send a written explanation of its findings to the consumer and note the consumer’s right to request the documents the financial institution used in making its determination?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 xml:space="preserve">1005.11(d)(1)) </w:t>
            </w:r>
          </w:p>
        </w:tc>
        <w:tc>
          <w:tcPr>
            <w:tcW w:w="660" w:type="dxa"/>
          </w:tcPr>
          <w:p w14:paraId="69981BED" w14:textId="77777777" w:rsidR="003D07CA" w:rsidRPr="007C7C6F" w:rsidRDefault="003D07CA" w:rsidP="003E1F68">
            <w:pPr>
              <w:spacing w:before="40" w:after="40"/>
              <w:jc w:val="center"/>
              <w:rPr>
                <w:rFonts w:ascii="Arial" w:hAnsi="Arial" w:cs="Arial"/>
                <w:sz w:val="18"/>
                <w:szCs w:val="18"/>
              </w:rPr>
            </w:pPr>
          </w:p>
        </w:tc>
        <w:tc>
          <w:tcPr>
            <w:tcW w:w="660" w:type="dxa"/>
          </w:tcPr>
          <w:p w14:paraId="69981BEE" w14:textId="77777777" w:rsidR="003D07CA" w:rsidRPr="007C7C6F" w:rsidRDefault="003D07CA" w:rsidP="003E1F68">
            <w:pPr>
              <w:spacing w:before="40" w:after="40"/>
              <w:jc w:val="center"/>
              <w:rPr>
                <w:rFonts w:ascii="Arial" w:hAnsi="Arial" w:cs="Arial"/>
                <w:sz w:val="18"/>
                <w:szCs w:val="18"/>
              </w:rPr>
            </w:pPr>
          </w:p>
        </w:tc>
        <w:tc>
          <w:tcPr>
            <w:tcW w:w="660" w:type="dxa"/>
          </w:tcPr>
          <w:p w14:paraId="69981BEF" w14:textId="77777777" w:rsidR="003D07CA" w:rsidRPr="00637580" w:rsidRDefault="003D07CA" w:rsidP="003E1F68">
            <w:pPr>
              <w:spacing w:before="40" w:after="40"/>
              <w:jc w:val="center"/>
              <w:rPr>
                <w:rFonts w:ascii="Arial" w:hAnsi="Arial" w:cs="Arial"/>
                <w:sz w:val="18"/>
                <w:szCs w:val="18"/>
              </w:rPr>
            </w:pPr>
          </w:p>
        </w:tc>
      </w:tr>
    </w:tbl>
    <w:p w14:paraId="69981BF1" w14:textId="77777777" w:rsidR="003D07CA" w:rsidRPr="00D7575F" w:rsidRDefault="003D07CA" w:rsidP="003D07CA">
      <w:pPr>
        <w:rPr>
          <w:rFonts w:ascii="Arial" w:hAnsi="Arial" w:cs="Arial"/>
          <w:sz w:val="18"/>
          <w:szCs w:val="18"/>
        </w:rPr>
      </w:pPr>
      <w:r w:rsidRPr="00D7575F">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BF6" w14:textId="77777777" w:rsidTr="003E1F68">
        <w:tc>
          <w:tcPr>
            <w:tcW w:w="7020" w:type="dxa"/>
            <w:tcBorders>
              <w:bottom w:val="single" w:sz="4" w:space="0" w:color="auto"/>
            </w:tcBorders>
          </w:tcPr>
          <w:p w14:paraId="69981BF2"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tcBorders>
              <w:bottom w:val="single" w:sz="4" w:space="0" w:color="auto"/>
            </w:tcBorders>
          </w:tcPr>
          <w:p w14:paraId="69981BF3"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tcBorders>
              <w:bottom w:val="single" w:sz="4" w:space="0" w:color="auto"/>
            </w:tcBorders>
          </w:tcPr>
          <w:p w14:paraId="69981BF4"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60" w:type="dxa"/>
            <w:tcBorders>
              <w:bottom w:val="single" w:sz="4" w:space="0" w:color="auto"/>
            </w:tcBorders>
          </w:tcPr>
          <w:p w14:paraId="69981BF5"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BFB" w14:textId="77777777" w:rsidTr="003E1F68">
        <w:tc>
          <w:tcPr>
            <w:tcW w:w="7020" w:type="dxa"/>
            <w:tcBorders>
              <w:bottom w:val="single" w:sz="4" w:space="0" w:color="auto"/>
            </w:tcBorders>
          </w:tcPr>
          <w:p w14:paraId="69981BF7" w14:textId="77777777" w:rsidR="003D07CA" w:rsidRPr="00D7575F" w:rsidRDefault="003D07CA" w:rsidP="00525B7F">
            <w:pPr>
              <w:pStyle w:val="Checklist1"/>
              <w:numPr>
                <w:ilvl w:val="0"/>
                <w:numId w:val="90"/>
              </w:numPr>
              <w:spacing w:before="40" w:after="40"/>
              <w:ind w:left="522" w:hanging="540"/>
              <w:rPr>
                <w:rFonts w:ascii="Arial" w:hAnsi="Arial" w:cs="Arial"/>
                <w:sz w:val="18"/>
                <w:szCs w:val="18"/>
              </w:rPr>
            </w:pPr>
            <w:r w:rsidRPr="00691CA2">
              <w:rPr>
                <w:rFonts w:ascii="Arial" w:hAnsi="Arial" w:cs="Arial"/>
                <w:sz w:val="18"/>
                <w:szCs w:val="18"/>
              </w:rPr>
              <w:t xml:space="preserve">When the financial institution determines that no error (or a different error) occurred, does the financial institution notify the consumer of the date and amount of the debiting of the </w:t>
            </w:r>
            <w:r w:rsidRPr="007C7C6F">
              <w:rPr>
                <w:rFonts w:ascii="Arial" w:hAnsi="Arial" w:cs="Arial"/>
                <w:sz w:val="18"/>
                <w:szCs w:val="18"/>
              </w:rPr>
              <w:t>provisionally credited amount and the fact that the financial institution will continue to honor checks and drafts to third parties and preauthorized transfers for five business days (to the extent that they would have been paid if the provisionally credited funds had not been debited)?</w:t>
            </w:r>
            <w:r w:rsidRPr="00D7575F">
              <w:rPr>
                <w:rFonts w:ascii="Arial" w:hAnsi="Arial" w:cs="Arial"/>
                <w:sz w:val="18"/>
                <w:szCs w:val="18"/>
              </w:rPr>
              <w:t xml:space="preserve"> (12 CFR 1005.11(d)(2))</w:t>
            </w:r>
          </w:p>
        </w:tc>
        <w:tc>
          <w:tcPr>
            <w:tcW w:w="660" w:type="dxa"/>
            <w:tcBorders>
              <w:bottom w:val="single" w:sz="4" w:space="0" w:color="auto"/>
            </w:tcBorders>
          </w:tcPr>
          <w:p w14:paraId="69981BF8"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BF9"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BFA" w14:textId="77777777" w:rsidR="003D07CA" w:rsidRPr="00637580" w:rsidRDefault="003D07CA" w:rsidP="003E1F68">
            <w:pPr>
              <w:spacing w:before="40" w:after="40"/>
              <w:jc w:val="center"/>
              <w:rPr>
                <w:rFonts w:ascii="Arial" w:hAnsi="Arial" w:cs="Arial"/>
                <w:sz w:val="18"/>
                <w:szCs w:val="18"/>
              </w:rPr>
            </w:pPr>
          </w:p>
        </w:tc>
      </w:tr>
      <w:tr w:rsidR="003D07CA" w:rsidRPr="00637580" w14:paraId="69981C00" w14:textId="77777777" w:rsidTr="003E1F68">
        <w:tc>
          <w:tcPr>
            <w:tcW w:w="7020" w:type="dxa"/>
            <w:shd w:val="clear" w:color="auto" w:fill="D9D9D9" w:themeFill="background1" w:themeFillShade="D9"/>
            <w:vAlign w:val="center"/>
          </w:tcPr>
          <w:p w14:paraId="69981BFC" w14:textId="77777777" w:rsidR="003D07CA" w:rsidRPr="00637580" w:rsidRDefault="00155765" w:rsidP="003E1F68">
            <w:pPr>
              <w:spacing w:before="40" w:after="40"/>
              <w:rPr>
                <w:rFonts w:ascii="Arial" w:hAnsi="Arial" w:cs="Arial"/>
                <w:b/>
                <w:sz w:val="18"/>
                <w:szCs w:val="18"/>
              </w:rPr>
            </w:pPr>
            <w:r>
              <w:rPr>
                <w:rFonts w:ascii="Arial" w:hAnsi="Arial" w:cs="Arial"/>
                <w:b/>
                <w:sz w:val="18"/>
                <w:szCs w:val="18"/>
              </w:rPr>
              <w:t>12 CFR</w:t>
            </w:r>
            <w:r w:rsidR="003D07CA" w:rsidRPr="00637580">
              <w:rPr>
                <w:rFonts w:ascii="Arial" w:hAnsi="Arial" w:cs="Arial"/>
                <w:b/>
                <w:sz w:val="18"/>
                <w:szCs w:val="18"/>
              </w:rPr>
              <w:t xml:space="preserve"> 1005.13 – Record Retention</w:t>
            </w:r>
          </w:p>
        </w:tc>
        <w:tc>
          <w:tcPr>
            <w:tcW w:w="660" w:type="dxa"/>
            <w:shd w:val="clear" w:color="auto" w:fill="D9D9D9" w:themeFill="background1" w:themeFillShade="D9"/>
          </w:tcPr>
          <w:p w14:paraId="69981BFD"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FE"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BFF"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C05" w14:textId="77777777" w:rsidTr="003E1F68">
        <w:tc>
          <w:tcPr>
            <w:tcW w:w="7020" w:type="dxa"/>
            <w:tcBorders>
              <w:bottom w:val="single" w:sz="4" w:space="0" w:color="auto"/>
            </w:tcBorders>
          </w:tcPr>
          <w:p w14:paraId="69981C01" w14:textId="77777777" w:rsidR="003D07CA" w:rsidRPr="007C7C6F" w:rsidRDefault="003D07CA" w:rsidP="00525B7F">
            <w:pPr>
              <w:pStyle w:val="Checklist1"/>
              <w:numPr>
                <w:ilvl w:val="0"/>
                <w:numId w:val="92"/>
              </w:numPr>
              <w:spacing w:before="40" w:after="40"/>
              <w:ind w:left="522" w:hanging="522"/>
              <w:rPr>
                <w:rFonts w:ascii="Arial" w:hAnsi="Arial" w:cs="Arial"/>
                <w:sz w:val="18"/>
                <w:szCs w:val="18"/>
              </w:rPr>
            </w:pPr>
            <w:r w:rsidRPr="00637580">
              <w:rPr>
                <w:rFonts w:ascii="Arial" w:hAnsi="Arial" w:cs="Arial"/>
                <w:sz w:val="18"/>
                <w:szCs w:val="18"/>
              </w:rPr>
              <w:t>Does the financial institution maintain evidence of compliance with the requirements of the EFTA and Regulation E for a period of two years? (12</w:t>
            </w:r>
            <w:r>
              <w:rPr>
                <w:rFonts w:ascii="Arial" w:hAnsi="Arial" w:cs="Arial"/>
                <w:sz w:val="18"/>
                <w:szCs w:val="18"/>
              </w:rPr>
              <w:t> </w:t>
            </w:r>
            <w:r w:rsidRPr="007C7C6F">
              <w:rPr>
                <w:rFonts w:ascii="Arial" w:hAnsi="Arial" w:cs="Arial"/>
                <w:sz w:val="18"/>
                <w:szCs w:val="18"/>
              </w:rPr>
              <w:t>CFR 1005.13(b))</w:t>
            </w:r>
          </w:p>
        </w:tc>
        <w:tc>
          <w:tcPr>
            <w:tcW w:w="660" w:type="dxa"/>
            <w:tcBorders>
              <w:bottom w:val="single" w:sz="4" w:space="0" w:color="auto"/>
            </w:tcBorders>
          </w:tcPr>
          <w:p w14:paraId="69981C02" w14:textId="77777777" w:rsidR="003D07CA" w:rsidRPr="007C7C6F"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C03"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C04" w14:textId="77777777" w:rsidR="003D07CA" w:rsidRPr="00637580" w:rsidRDefault="003D07CA" w:rsidP="003E1F68">
            <w:pPr>
              <w:spacing w:before="40" w:after="40"/>
              <w:jc w:val="center"/>
              <w:rPr>
                <w:rFonts w:ascii="Arial" w:hAnsi="Arial" w:cs="Arial"/>
                <w:sz w:val="18"/>
                <w:szCs w:val="18"/>
              </w:rPr>
            </w:pPr>
          </w:p>
        </w:tc>
      </w:tr>
      <w:tr w:rsidR="003D07CA" w:rsidRPr="00637580" w14:paraId="69981C0A" w14:textId="77777777" w:rsidTr="003E1F68">
        <w:tc>
          <w:tcPr>
            <w:tcW w:w="7020" w:type="dxa"/>
            <w:shd w:val="clear" w:color="auto" w:fill="D9D9D9" w:themeFill="background1" w:themeFillShade="D9"/>
            <w:vAlign w:val="center"/>
          </w:tcPr>
          <w:p w14:paraId="69981C06" w14:textId="77777777" w:rsidR="003D07CA" w:rsidRPr="00637580" w:rsidRDefault="00155765" w:rsidP="003E1F68">
            <w:pPr>
              <w:spacing w:before="40" w:after="40"/>
              <w:rPr>
                <w:rFonts w:ascii="Arial" w:hAnsi="Arial" w:cs="Arial"/>
                <w:b/>
                <w:sz w:val="18"/>
                <w:szCs w:val="18"/>
              </w:rPr>
            </w:pPr>
            <w:r>
              <w:rPr>
                <w:rFonts w:ascii="Arial" w:hAnsi="Arial" w:cs="Arial"/>
                <w:b/>
                <w:sz w:val="18"/>
                <w:szCs w:val="18"/>
              </w:rPr>
              <w:t>12 CFR</w:t>
            </w:r>
            <w:r w:rsidR="003D07CA" w:rsidRPr="00637580">
              <w:rPr>
                <w:rFonts w:ascii="Arial" w:hAnsi="Arial" w:cs="Arial"/>
                <w:b/>
                <w:sz w:val="18"/>
                <w:szCs w:val="18"/>
              </w:rPr>
              <w:t xml:space="preserve"> 1005.16 – Disclosures at ATMs</w:t>
            </w:r>
          </w:p>
        </w:tc>
        <w:tc>
          <w:tcPr>
            <w:tcW w:w="660" w:type="dxa"/>
            <w:shd w:val="clear" w:color="auto" w:fill="D9D9D9" w:themeFill="background1" w:themeFillShade="D9"/>
          </w:tcPr>
          <w:p w14:paraId="69981C07"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C08"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C09"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C0F" w14:textId="77777777" w:rsidTr="003E1F68">
        <w:tc>
          <w:tcPr>
            <w:tcW w:w="7020" w:type="dxa"/>
          </w:tcPr>
          <w:p w14:paraId="69981C0B" w14:textId="77777777" w:rsidR="003D07CA" w:rsidRPr="00637580" w:rsidRDefault="003D07CA" w:rsidP="00525B7F">
            <w:pPr>
              <w:pStyle w:val="Checklist1"/>
              <w:numPr>
                <w:ilvl w:val="0"/>
                <w:numId w:val="92"/>
              </w:numPr>
              <w:spacing w:before="40" w:after="40"/>
              <w:ind w:left="522" w:hanging="540"/>
              <w:rPr>
                <w:rFonts w:ascii="Arial" w:hAnsi="Arial" w:cs="Arial"/>
                <w:sz w:val="18"/>
                <w:szCs w:val="18"/>
              </w:rPr>
            </w:pPr>
            <w:r w:rsidRPr="00637580">
              <w:rPr>
                <w:rFonts w:ascii="Arial" w:hAnsi="Arial" w:cs="Arial"/>
                <w:sz w:val="18"/>
                <w:szCs w:val="18"/>
              </w:rPr>
              <w:t xml:space="preserve">If the financial institution operates an ATM and imposes a fee on a consumer for initiating an EFT or balance inquiry, does the financial institution </w:t>
            </w:r>
          </w:p>
        </w:tc>
        <w:tc>
          <w:tcPr>
            <w:tcW w:w="660" w:type="dxa"/>
          </w:tcPr>
          <w:p w14:paraId="69981C0C" w14:textId="77777777" w:rsidR="003D07CA" w:rsidRPr="00637580" w:rsidRDefault="003D07CA" w:rsidP="003E1F68">
            <w:pPr>
              <w:spacing w:before="40" w:after="40"/>
              <w:jc w:val="center"/>
              <w:rPr>
                <w:rFonts w:ascii="Arial" w:hAnsi="Arial" w:cs="Arial"/>
                <w:sz w:val="18"/>
                <w:szCs w:val="18"/>
              </w:rPr>
            </w:pPr>
          </w:p>
        </w:tc>
        <w:tc>
          <w:tcPr>
            <w:tcW w:w="660" w:type="dxa"/>
          </w:tcPr>
          <w:p w14:paraId="69981C0D" w14:textId="77777777" w:rsidR="003D07CA" w:rsidRPr="00637580" w:rsidRDefault="003D07CA" w:rsidP="003E1F68">
            <w:pPr>
              <w:spacing w:before="40" w:after="40"/>
              <w:jc w:val="center"/>
              <w:rPr>
                <w:rFonts w:ascii="Arial" w:hAnsi="Arial" w:cs="Arial"/>
                <w:sz w:val="18"/>
                <w:szCs w:val="18"/>
              </w:rPr>
            </w:pPr>
          </w:p>
        </w:tc>
        <w:tc>
          <w:tcPr>
            <w:tcW w:w="660" w:type="dxa"/>
          </w:tcPr>
          <w:p w14:paraId="69981C0E" w14:textId="77777777" w:rsidR="003D07CA" w:rsidRPr="00637580" w:rsidRDefault="003D07CA" w:rsidP="003E1F68">
            <w:pPr>
              <w:spacing w:before="40" w:after="40"/>
              <w:jc w:val="center"/>
              <w:rPr>
                <w:rFonts w:ascii="Arial" w:hAnsi="Arial" w:cs="Arial"/>
                <w:sz w:val="18"/>
                <w:szCs w:val="18"/>
              </w:rPr>
            </w:pPr>
          </w:p>
        </w:tc>
      </w:tr>
      <w:tr w:rsidR="003D07CA" w:rsidRPr="00637580" w14:paraId="69981C14" w14:textId="77777777" w:rsidTr="003E1F68">
        <w:tc>
          <w:tcPr>
            <w:tcW w:w="7020" w:type="dxa"/>
          </w:tcPr>
          <w:p w14:paraId="69981C10" w14:textId="77777777" w:rsidR="003D07CA" w:rsidRPr="00637580" w:rsidRDefault="003D07CA" w:rsidP="00525B7F">
            <w:pPr>
              <w:pStyle w:val="ChecklistBullet1"/>
              <w:numPr>
                <w:ilvl w:val="0"/>
                <w:numId w:val="127"/>
              </w:numPr>
              <w:tabs>
                <w:tab w:val="clear" w:pos="3600"/>
              </w:tabs>
              <w:ind w:left="882"/>
              <w:rPr>
                <w:rFonts w:ascii="Arial" w:hAnsi="Arial" w:cs="Arial"/>
                <w:sz w:val="18"/>
                <w:szCs w:val="18"/>
              </w:rPr>
            </w:pPr>
            <w:r w:rsidRPr="00637580">
              <w:rPr>
                <w:rFonts w:ascii="Arial" w:hAnsi="Arial" w:cs="Arial"/>
                <w:sz w:val="18"/>
                <w:szCs w:val="18"/>
              </w:rPr>
              <w:t>provide notice that a fee will be imposed</w:t>
            </w:r>
            <w:r>
              <w:rPr>
                <w:rFonts w:ascii="Arial" w:hAnsi="Arial" w:cs="Arial"/>
                <w:sz w:val="18"/>
                <w:szCs w:val="18"/>
              </w:rPr>
              <w:t>?</w:t>
            </w:r>
            <w:r w:rsidR="007135E4">
              <w:rPr>
                <w:rFonts w:ascii="Arial" w:hAnsi="Arial" w:cs="Arial"/>
                <w:sz w:val="18"/>
                <w:szCs w:val="18"/>
              </w:rPr>
              <w:t xml:space="preserve"> (12 CFR 1005.16(b)</w:t>
            </w:r>
            <w:r w:rsidRPr="00637580">
              <w:rPr>
                <w:rFonts w:ascii="Arial" w:hAnsi="Arial" w:cs="Arial"/>
                <w:sz w:val="18"/>
                <w:szCs w:val="18"/>
              </w:rPr>
              <w:t>(1))</w:t>
            </w:r>
          </w:p>
        </w:tc>
        <w:tc>
          <w:tcPr>
            <w:tcW w:w="660" w:type="dxa"/>
          </w:tcPr>
          <w:p w14:paraId="69981C11" w14:textId="77777777" w:rsidR="003D07CA" w:rsidRPr="00637580" w:rsidRDefault="003D07CA" w:rsidP="003E1F68">
            <w:pPr>
              <w:spacing w:before="40" w:after="40"/>
              <w:jc w:val="center"/>
              <w:rPr>
                <w:rFonts w:ascii="Arial" w:hAnsi="Arial" w:cs="Arial"/>
                <w:sz w:val="18"/>
                <w:szCs w:val="18"/>
              </w:rPr>
            </w:pPr>
          </w:p>
        </w:tc>
        <w:tc>
          <w:tcPr>
            <w:tcW w:w="660" w:type="dxa"/>
          </w:tcPr>
          <w:p w14:paraId="69981C12" w14:textId="77777777" w:rsidR="003D07CA" w:rsidRPr="00637580" w:rsidRDefault="003D07CA" w:rsidP="003E1F68">
            <w:pPr>
              <w:spacing w:before="40" w:after="40"/>
              <w:jc w:val="center"/>
              <w:rPr>
                <w:rFonts w:ascii="Arial" w:hAnsi="Arial" w:cs="Arial"/>
                <w:sz w:val="18"/>
                <w:szCs w:val="18"/>
              </w:rPr>
            </w:pPr>
          </w:p>
        </w:tc>
        <w:tc>
          <w:tcPr>
            <w:tcW w:w="660" w:type="dxa"/>
          </w:tcPr>
          <w:p w14:paraId="69981C13" w14:textId="77777777" w:rsidR="003D07CA" w:rsidRPr="00637580" w:rsidRDefault="003D07CA" w:rsidP="003E1F68">
            <w:pPr>
              <w:spacing w:before="40" w:after="40"/>
              <w:jc w:val="center"/>
              <w:rPr>
                <w:rFonts w:ascii="Arial" w:hAnsi="Arial" w:cs="Arial"/>
                <w:sz w:val="18"/>
                <w:szCs w:val="18"/>
              </w:rPr>
            </w:pPr>
          </w:p>
        </w:tc>
      </w:tr>
      <w:tr w:rsidR="003D07CA" w:rsidRPr="00637580" w14:paraId="69981C19" w14:textId="77777777" w:rsidTr="003E1F68">
        <w:tc>
          <w:tcPr>
            <w:tcW w:w="7020" w:type="dxa"/>
          </w:tcPr>
          <w:p w14:paraId="69981C15" w14:textId="77777777" w:rsidR="003D07CA" w:rsidRPr="00637580" w:rsidRDefault="003D07CA" w:rsidP="00525B7F">
            <w:pPr>
              <w:pStyle w:val="ChecklistBullet1"/>
              <w:numPr>
                <w:ilvl w:val="0"/>
                <w:numId w:val="127"/>
              </w:numPr>
              <w:tabs>
                <w:tab w:val="clear" w:pos="3600"/>
              </w:tabs>
              <w:ind w:left="882"/>
              <w:rPr>
                <w:rFonts w:ascii="Arial" w:hAnsi="Arial" w:cs="Arial"/>
                <w:sz w:val="18"/>
                <w:szCs w:val="18"/>
              </w:rPr>
            </w:pPr>
            <w:r w:rsidRPr="00637580">
              <w:rPr>
                <w:rFonts w:ascii="Arial" w:hAnsi="Arial" w:cs="Arial"/>
                <w:sz w:val="18"/>
                <w:szCs w:val="18"/>
              </w:rPr>
              <w:t>disclose the amount</w:t>
            </w:r>
            <w:r w:rsidR="007135E4">
              <w:rPr>
                <w:rFonts w:ascii="Arial" w:hAnsi="Arial" w:cs="Arial"/>
                <w:sz w:val="18"/>
                <w:szCs w:val="18"/>
              </w:rPr>
              <w:t xml:space="preserve"> of the fee? (12 CFR 1005.16(b)</w:t>
            </w:r>
            <w:r w:rsidRPr="00637580">
              <w:rPr>
                <w:rFonts w:ascii="Arial" w:hAnsi="Arial" w:cs="Arial"/>
                <w:sz w:val="18"/>
                <w:szCs w:val="18"/>
              </w:rPr>
              <w:t>(2))</w:t>
            </w:r>
          </w:p>
        </w:tc>
        <w:tc>
          <w:tcPr>
            <w:tcW w:w="660" w:type="dxa"/>
          </w:tcPr>
          <w:p w14:paraId="69981C16" w14:textId="77777777" w:rsidR="003D07CA" w:rsidRPr="00637580" w:rsidRDefault="003D07CA" w:rsidP="003E1F68">
            <w:pPr>
              <w:spacing w:before="40" w:after="40"/>
              <w:jc w:val="center"/>
              <w:rPr>
                <w:rFonts w:ascii="Arial" w:hAnsi="Arial" w:cs="Arial"/>
                <w:sz w:val="18"/>
                <w:szCs w:val="18"/>
              </w:rPr>
            </w:pPr>
          </w:p>
        </w:tc>
        <w:tc>
          <w:tcPr>
            <w:tcW w:w="660" w:type="dxa"/>
          </w:tcPr>
          <w:p w14:paraId="69981C17" w14:textId="77777777" w:rsidR="003D07CA" w:rsidRPr="00637580" w:rsidRDefault="003D07CA" w:rsidP="003E1F68">
            <w:pPr>
              <w:spacing w:before="40" w:after="40"/>
              <w:jc w:val="center"/>
              <w:rPr>
                <w:rFonts w:ascii="Arial" w:hAnsi="Arial" w:cs="Arial"/>
                <w:sz w:val="18"/>
                <w:szCs w:val="18"/>
              </w:rPr>
            </w:pPr>
          </w:p>
        </w:tc>
        <w:tc>
          <w:tcPr>
            <w:tcW w:w="660" w:type="dxa"/>
          </w:tcPr>
          <w:p w14:paraId="69981C18" w14:textId="77777777" w:rsidR="003D07CA" w:rsidRPr="00637580" w:rsidRDefault="003D07CA" w:rsidP="003E1F68">
            <w:pPr>
              <w:spacing w:before="40" w:after="40"/>
              <w:jc w:val="center"/>
              <w:rPr>
                <w:rFonts w:ascii="Arial" w:hAnsi="Arial" w:cs="Arial"/>
                <w:sz w:val="18"/>
                <w:szCs w:val="18"/>
              </w:rPr>
            </w:pPr>
          </w:p>
        </w:tc>
      </w:tr>
      <w:tr w:rsidR="003D07CA" w:rsidRPr="00637580" w14:paraId="69981C1E" w14:textId="77777777" w:rsidTr="003E1F68">
        <w:tc>
          <w:tcPr>
            <w:tcW w:w="7020" w:type="dxa"/>
          </w:tcPr>
          <w:p w14:paraId="69981C1A" w14:textId="77777777" w:rsidR="003D07CA" w:rsidRPr="007C7C6F" w:rsidRDefault="003D07CA" w:rsidP="00525B7F">
            <w:pPr>
              <w:pStyle w:val="Checklist1"/>
              <w:numPr>
                <w:ilvl w:val="0"/>
                <w:numId w:val="92"/>
              </w:numPr>
              <w:spacing w:before="40" w:after="40"/>
              <w:ind w:left="522" w:hanging="522"/>
              <w:rPr>
                <w:rFonts w:ascii="Arial" w:hAnsi="Arial" w:cs="Arial"/>
                <w:sz w:val="18"/>
                <w:szCs w:val="18"/>
              </w:rPr>
            </w:pPr>
            <w:r w:rsidRPr="00637580">
              <w:rPr>
                <w:rFonts w:ascii="Arial" w:hAnsi="Arial" w:cs="Arial"/>
                <w:sz w:val="18"/>
                <w:szCs w:val="18"/>
              </w:rPr>
              <w:t>Does the financial institution post the notice required by 12 CFR 1005.16(b) in a prominent and conspicuous location on or at the ATM?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1005.16(c)(1))</w:t>
            </w:r>
          </w:p>
        </w:tc>
        <w:tc>
          <w:tcPr>
            <w:tcW w:w="660" w:type="dxa"/>
          </w:tcPr>
          <w:p w14:paraId="69981C1B" w14:textId="77777777" w:rsidR="003D07CA" w:rsidRPr="00637580" w:rsidRDefault="003D07CA" w:rsidP="003E1F68">
            <w:pPr>
              <w:spacing w:before="40" w:after="40"/>
              <w:jc w:val="center"/>
              <w:rPr>
                <w:rFonts w:ascii="Arial" w:hAnsi="Arial" w:cs="Arial"/>
                <w:sz w:val="18"/>
                <w:szCs w:val="18"/>
              </w:rPr>
            </w:pPr>
          </w:p>
        </w:tc>
        <w:tc>
          <w:tcPr>
            <w:tcW w:w="660" w:type="dxa"/>
          </w:tcPr>
          <w:p w14:paraId="69981C1C" w14:textId="77777777" w:rsidR="003D07CA" w:rsidRPr="00637580" w:rsidRDefault="003D07CA" w:rsidP="003E1F68">
            <w:pPr>
              <w:spacing w:before="40" w:after="40"/>
              <w:jc w:val="center"/>
              <w:rPr>
                <w:rFonts w:ascii="Arial" w:hAnsi="Arial" w:cs="Arial"/>
                <w:sz w:val="18"/>
                <w:szCs w:val="18"/>
              </w:rPr>
            </w:pPr>
          </w:p>
        </w:tc>
        <w:tc>
          <w:tcPr>
            <w:tcW w:w="660" w:type="dxa"/>
          </w:tcPr>
          <w:p w14:paraId="69981C1D" w14:textId="77777777" w:rsidR="003D07CA" w:rsidRPr="00637580" w:rsidRDefault="003D07CA" w:rsidP="003E1F68">
            <w:pPr>
              <w:spacing w:before="40" w:after="40"/>
              <w:jc w:val="center"/>
              <w:rPr>
                <w:rFonts w:ascii="Arial" w:hAnsi="Arial" w:cs="Arial"/>
                <w:sz w:val="18"/>
                <w:szCs w:val="18"/>
              </w:rPr>
            </w:pPr>
          </w:p>
        </w:tc>
      </w:tr>
      <w:tr w:rsidR="003D07CA" w:rsidRPr="00637580" w14:paraId="69981C23" w14:textId="77777777" w:rsidTr="003E1F68">
        <w:tc>
          <w:tcPr>
            <w:tcW w:w="7020" w:type="dxa"/>
            <w:tcBorders>
              <w:bottom w:val="single" w:sz="4" w:space="0" w:color="auto"/>
            </w:tcBorders>
          </w:tcPr>
          <w:p w14:paraId="69981C1F" w14:textId="77777777" w:rsidR="003D07CA" w:rsidRPr="007C7C6F" w:rsidRDefault="003D07CA" w:rsidP="00525B7F">
            <w:pPr>
              <w:pStyle w:val="Checklist1"/>
              <w:numPr>
                <w:ilvl w:val="0"/>
                <w:numId w:val="92"/>
              </w:numPr>
              <w:spacing w:before="40" w:after="40"/>
              <w:ind w:left="522" w:hanging="522"/>
              <w:rPr>
                <w:rFonts w:ascii="Arial" w:hAnsi="Arial" w:cs="Arial"/>
                <w:sz w:val="18"/>
                <w:szCs w:val="18"/>
              </w:rPr>
            </w:pPr>
            <w:r w:rsidRPr="00637580">
              <w:rPr>
                <w:rFonts w:ascii="Arial" w:hAnsi="Arial" w:cs="Arial"/>
                <w:sz w:val="18"/>
                <w:szCs w:val="18"/>
              </w:rPr>
              <w:t>Does the financial institution provide the notice required by section 1005.16(b) either by showing it on the ATM screen or by providing it on paper before the consumer is committed to paying a fee?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1005.16(c)(2))</w:t>
            </w:r>
          </w:p>
        </w:tc>
        <w:tc>
          <w:tcPr>
            <w:tcW w:w="660" w:type="dxa"/>
            <w:tcBorders>
              <w:bottom w:val="single" w:sz="4" w:space="0" w:color="auto"/>
            </w:tcBorders>
          </w:tcPr>
          <w:p w14:paraId="69981C20" w14:textId="77777777" w:rsidR="003D07CA" w:rsidRPr="007C7C6F"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C21"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C22" w14:textId="77777777" w:rsidR="003D07CA" w:rsidRPr="00637580" w:rsidRDefault="003D07CA" w:rsidP="003E1F68">
            <w:pPr>
              <w:spacing w:before="40" w:after="40"/>
              <w:jc w:val="center"/>
              <w:rPr>
                <w:rFonts w:ascii="Arial" w:hAnsi="Arial" w:cs="Arial"/>
                <w:sz w:val="18"/>
                <w:szCs w:val="18"/>
              </w:rPr>
            </w:pPr>
          </w:p>
        </w:tc>
      </w:tr>
      <w:tr w:rsidR="003D07CA" w:rsidRPr="00637580" w14:paraId="69981C28" w14:textId="77777777" w:rsidTr="003E1F68">
        <w:tc>
          <w:tcPr>
            <w:tcW w:w="7020" w:type="dxa"/>
            <w:shd w:val="clear" w:color="auto" w:fill="D9D9D9" w:themeFill="background1" w:themeFillShade="D9"/>
          </w:tcPr>
          <w:p w14:paraId="69981C24" w14:textId="77777777" w:rsidR="003D07CA" w:rsidRPr="00637580" w:rsidRDefault="003D07CA" w:rsidP="003E1F68">
            <w:pPr>
              <w:spacing w:before="40" w:after="40"/>
              <w:rPr>
                <w:rFonts w:ascii="Arial" w:hAnsi="Arial" w:cs="Arial"/>
                <w:b/>
                <w:sz w:val="18"/>
                <w:szCs w:val="18"/>
              </w:rPr>
            </w:pPr>
            <w:r w:rsidRPr="00637580">
              <w:rPr>
                <w:rFonts w:ascii="Arial" w:hAnsi="Arial" w:cs="Arial"/>
                <w:b/>
                <w:sz w:val="18"/>
                <w:szCs w:val="18"/>
              </w:rPr>
              <w:t>12 CFR 1005.17 – Requirements for Overdraft Services</w:t>
            </w:r>
          </w:p>
        </w:tc>
        <w:tc>
          <w:tcPr>
            <w:tcW w:w="660" w:type="dxa"/>
            <w:shd w:val="clear" w:color="auto" w:fill="D9D9D9" w:themeFill="background1" w:themeFillShade="D9"/>
          </w:tcPr>
          <w:p w14:paraId="69981C25"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C26"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C27" w14:textId="77777777" w:rsidR="003D07CA" w:rsidRPr="00637580" w:rsidRDefault="003D07CA" w:rsidP="003E1F68">
            <w:pPr>
              <w:spacing w:before="40" w:after="40"/>
              <w:jc w:val="center"/>
              <w:rPr>
                <w:rFonts w:ascii="Arial" w:hAnsi="Arial" w:cs="Arial"/>
                <w:sz w:val="18"/>
                <w:szCs w:val="18"/>
              </w:rPr>
            </w:pPr>
          </w:p>
        </w:tc>
      </w:tr>
      <w:tr w:rsidR="003D07CA" w:rsidRPr="00637580" w14:paraId="69981C2D" w14:textId="77777777" w:rsidTr="003E1F68">
        <w:tc>
          <w:tcPr>
            <w:tcW w:w="7020" w:type="dxa"/>
          </w:tcPr>
          <w:p w14:paraId="69981C29" w14:textId="77777777" w:rsidR="003D07CA" w:rsidRPr="00637580" w:rsidRDefault="003D07CA" w:rsidP="00525B7F">
            <w:pPr>
              <w:pStyle w:val="Checklist1"/>
              <w:numPr>
                <w:ilvl w:val="0"/>
                <w:numId w:val="92"/>
              </w:numPr>
              <w:spacing w:before="40" w:after="40"/>
              <w:ind w:left="522" w:hanging="522"/>
              <w:rPr>
                <w:rFonts w:ascii="Arial" w:hAnsi="Arial" w:cs="Arial"/>
                <w:sz w:val="18"/>
                <w:szCs w:val="18"/>
              </w:rPr>
            </w:pPr>
            <w:r w:rsidRPr="00637580">
              <w:rPr>
                <w:rFonts w:ascii="Arial" w:hAnsi="Arial" w:cs="Arial"/>
                <w:sz w:val="18"/>
                <w:szCs w:val="18"/>
              </w:rPr>
              <w:t>Does the financial institution’s Overdraft Protection Program incorporate the agency’s guidance as applicable?</w:t>
            </w:r>
          </w:p>
        </w:tc>
        <w:tc>
          <w:tcPr>
            <w:tcW w:w="660" w:type="dxa"/>
          </w:tcPr>
          <w:p w14:paraId="69981C2A" w14:textId="77777777" w:rsidR="003D07CA" w:rsidRPr="00637580" w:rsidRDefault="003D07CA" w:rsidP="003E1F68">
            <w:pPr>
              <w:spacing w:before="40" w:after="40"/>
              <w:jc w:val="center"/>
              <w:rPr>
                <w:rFonts w:ascii="Arial" w:hAnsi="Arial" w:cs="Arial"/>
                <w:sz w:val="18"/>
                <w:szCs w:val="18"/>
              </w:rPr>
            </w:pPr>
          </w:p>
        </w:tc>
        <w:tc>
          <w:tcPr>
            <w:tcW w:w="660" w:type="dxa"/>
          </w:tcPr>
          <w:p w14:paraId="69981C2B" w14:textId="77777777" w:rsidR="003D07CA" w:rsidRPr="00637580" w:rsidRDefault="003D07CA" w:rsidP="003E1F68">
            <w:pPr>
              <w:spacing w:before="40" w:after="40"/>
              <w:jc w:val="center"/>
              <w:rPr>
                <w:rFonts w:ascii="Arial" w:hAnsi="Arial" w:cs="Arial"/>
                <w:sz w:val="18"/>
                <w:szCs w:val="18"/>
              </w:rPr>
            </w:pPr>
          </w:p>
        </w:tc>
        <w:tc>
          <w:tcPr>
            <w:tcW w:w="660" w:type="dxa"/>
          </w:tcPr>
          <w:p w14:paraId="69981C2C" w14:textId="77777777" w:rsidR="003D07CA" w:rsidRPr="00637580" w:rsidRDefault="003D07CA" w:rsidP="003E1F68">
            <w:pPr>
              <w:spacing w:before="40" w:after="40"/>
              <w:jc w:val="center"/>
              <w:rPr>
                <w:rFonts w:ascii="Arial" w:hAnsi="Arial" w:cs="Arial"/>
                <w:sz w:val="18"/>
                <w:szCs w:val="18"/>
              </w:rPr>
            </w:pPr>
          </w:p>
        </w:tc>
      </w:tr>
      <w:tr w:rsidR="003D07CA" w:rsidRPr="00637580" w14:paraId="69981C32" w14:textId="77777777" w:rsidTr="003E1F68">
        <w:tc>
          <w:tcPr>
            <w:tcW w:w="7020" w:type="dxa"/>
          </w:tcPr>
          <w:p w14:paraId="69981C2E" w14:textId="77777777" w:rsidR="003D07CA" w:rsidRPr="00637580" w:rsidRDefault="003D07CA" w:rsidP="00525B7F">
            <w:pPr>
              <w:pStyle w:val="Checklist1"/>
              <w:numPr>
                <w:ilvl w:val="0"/>
                <w:numId w:val="92"/>
              </w:numPr>
              <w:spacing w:before="40" w:after="40"/>
              <w:ind w:left="522" w:hanging="522"/>
              <w:rPr>
                <w:rFonts w:ascii="Arial" w:hAnsi="Arial" w:cs="Arial"/>
                <w:sz w:val="18"/>
                <w:szCs w:val="18"/>
              </w:rPr>
            </w:pPr>
            <w:r w:rsidRPr="00637580">
              <w:rPr>
                <w:rFonts w:ascii="Arial" w:hAnsi="Arial" w:cs="Arial"/>
                <w:sz w:val="18"/>
                <w:szCs w:val="18"/>
              </w:rPr>
              <w:t>Does the financial institution’s Overdraft Protection Program provide “overdraft services,” i.e., charge fees for paying ATM and one-time debit overdrafts? (12</w:t>
            </w:r>
            <w:r>
              <w:rPr>
                <w:rFonts w:ascii="Arial" w:hAnsi="Arial" w:cs="Arial"/>
                <w:sz w:val="18"/>
                <w:szCs w:val="18"/>
              </w:rPr>
              <w:t> </w:t>
            </w:r>
            <w:r w:rsidRPr="00637580">
              <w:rPr>
                <w:rFonts w:ascii="Arial" w:hAnsi="Arial" w:cs="Arial"/>
                <w:sz w:val="18"/>
                <w:szCs w:val="18"/>
              </w:rPr>
              <w:t xml:space="preserve">CFR 1005.17(a)) </w:t>
            </w:r>
            <w:r w:rsidRPr="00637580">
              <w:rPr>
                <w:rFonts w:ascii="Arial" w:hAnsi="Arial" w:cs="Arial"/>
                <w:sz w:val="18"/>
                <w:szCs w:val="18"/>
                <w:u w:val="single"/>
              </w:rPr>
              <w:t>If no, do not complete this section</w:t>
            </w:r>
            <w:r w:rsidRPr="00637580">
              <w:rPr>
                <w:rFonts w:ascii="Arial" w:hAnsi="Arial" w:cs="Arial"/>
                <w:sz w:val="18"/>
                <w:szCs w:val="18"/>
              </w:rPr>
              <w:t xml:space="preserve"> </w:t>
            </w:r>
          </w:p>
        </w:tc>
        <w:tc>
          <w:tcPr>
            <w:tcW w:w="660" w:type="dxa"/>
            <w:tcBorders>
              <w:bottom w:val="single" w:sz="4" w:space="0" w:color="auto"/>
            </w:tcBorders>
          </w:tcPr>
          <w:p w14:paraId="69981C2F"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C30"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C31" w14:textId="77777777" w:rsidR="003D07CA" w:rsidRPr="00637580" w:rsidRDefault="003D07CA" w:rsidP="003E1F68">
            <w:pPr>
              <w:spacing w:before="40" w:after="40"/>
              <w:jc w:val="center"/>
              <w:rPr>
                <w:rFonts w:ascii="Arial" w:hAnsi="Arial" w:cs="Arial"/>
                <w:sz w:val="18"/>
                <w:szCs w:val="18"/>
              </w:rPr>
            </w:pPr>
          </w:p>
        </w:tc>
      </w:tr>
      <w:tr w:rsidR="003D07CA" w:rsidRPr="00637580" w14:paraId="69981C37" w14:textId="77777777" w:rsidTr="003E1F68">
        <w:tc>
          <w:tcPr>
            <w:tcW w:w="7020" w:type="dxa"/>
          </w:tcPr>
          <w:p w14:paraId="69981C33" w14:textId="77777777" w:rsidR="003D07CA" w:rsidRPr="00637580" w:rsidRDefault="003D07CA" w:rsidP="00525B7F">
            <w:pPr>
              <w:pStyle w:val="Checklist1"/>
              <w:numPr>
                <w:ilvl w:val="0"/>
                <w:numId w:val="92"/>
              </w:numPr>
              <w:spacing w:before="40" w:after="40"/>
              <w:ind w:left="522" w:hanging="522"/>
              <w:rPr>
                <w:rFonts w:ascii="Arial" w:hAnsi="Arial" w:cs="Arial"/>
                <w:sz w:val="18"/>
                <w:szCs w:val="18"/>
              </w:rPr>
            </w:pPr>
            <w:r w:rsidRPr="00637580">
              <w:rPr>
                <w:rFonts w:ascii="Arial" w:hAnsi="Arial" w:cs="Arial"/>
                <w:sz w:val="18"/>
                <w:szCs w:val="18"/>
              </w:rPr>
              <w:t>If the financial institution assesses a fee or charge</w:t>
            </w:r>
            <w:r w:rsidR="00434DAF">
              <w:rPr>
                <w:rFonts w:ascii="Arial" w:hAnsi="Arial" w:cs="Arial"/>
                <w:sz w:val="18"/>
                <w:szCs w:val="18"/>
              </w:rPr>
              <w:t xml:space="preserve"> (</w:t>
            </w:r>
            <w:r w:rsidRPr="00637580">
              <w:rPr>
                <w:rFonts w:ascii="Arial" w:hAnsi="Arial" w:cs="Arial"/>
                <w:b/>
                <w:sz w:val="18"/>
                <w:szCs w:val="18"/>
              </w:rPr>
              <w:t>Note:</w:t>
            </w:r>
            <w:r w:rsidRPr="00637580">
              <w:rPr>
                <w:rFonts w:ascii="Arial" w:hAnsi="Arial" w:cs="Arial"/>
                <w:sz w:val="18"/>
                <w:szCs w:val="18"/>
              </w:rPr>
              <w:t xml:space="preserve"> Fees or charges may generally be assessed only on transactions paid after the confirmation has been mailed or delivered) on the consumer’s account for paying an ATM or one-time debit card transaction pursuant to the financial institution</w:t>
            </w:r>
            <w:r w:rsidR="00950C18">
              <w:rPr>
                <w:rFonts w:ascii="Arial" w:hAnsi="Arial" w:cs="Arial"/>
                <w:sz w:val="18"/>
                <w:szCs w:val="18"/>
              </w:rPr>
              <w:t>’</w:t>
            </w:r>
            <w:r w:rsidRPr="00637580">
              <w:rPr>
                <w:rFonts w:ascii="Arial" w:hAnsi="Arial" w:cs="Arial"/>
                <w:sz w:val="18"/>
                <w:szCs w:val="18"/>
              </w:rPr>
              <w:t xml:space="preserve">s overdraft service, does the financial institution first </w:t>
            </w:r>
          </w:p>
        </w:tc>
        <w:tc>
          <w:tcPr>
            <w:tcW w:w="660" w:type="dxa"/>
            <w:shd w:val="clear" w:color="auto" w:fill="D9D9D9" w:themeFill="background1" w:themeFillShade="D9"/>
          </w:tcPr>
          <w:p w14:paraId="69981C34"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C35"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C36" w14:textId="77777777" w:rsidR="003D07CA" w:rsidRPr="00637580" w:rsidRDefault="003D07CA" w:rsidP="003E1F68">
            <w:pPr>
              <w:spacing w:before="40" w:after="40"/>
              <w:jc w:val="center"/>
              <w:rPr>
                <w:rFonts w:ascii="Arial" w:hAnsi="Arial" w:cs="Arial"/>
                <w:sz w:val="18"/>
                <w:szCs w:val="18"/>
              </w:rPr>
            </w:pPr>
          </w:p>
        </w:tc>
      </w:tr>
      <w:tr w:rsidR="003D07CA" w:rsidRPr="00637580" w14:paraId="69981C3C" w14:textId="77777777" w:rsidTr="003E1F68">
        <w:tc>
          <w:tcPr>
            <w:tcW w:w="7020" w:type="dxa"/>
          </w:tcPr>
          <w:p w14:paraId="69981C38" w14:textId="77777777" w:rsidR="003D07CA" w:rsidRPr="00637580" w:rsidRDefault="003D07CA" w:rsidP="00525B7F">
            <w:pPr>
              <w:pStyle w:val="ChecklistBullet1"/>
              <w:numPr>
                <w:ilvl w:val="0"/>
                <w:numId w:val="128"/>
              </w:numPr>
              <w:tabs>
                <w:tab w:val="clear" w:pos="3600"/>
              </w:tabs>
              <w:ind w:left="882"/>
              <w:rPr>
                <w:rFonts w:ascii="Arial" w:hAnsi="Arial" w:cs="Arial"/>
                <w:sz w:val="18"/>
                <w:szCs w:val="18"/>
              </w:rPr>
            </w:pPr>
            <w:r w:rsidRPr="00637580">
              <w:rPr>
                <w:rFonts w:ascii="Arial" w:hAnsi="Arial" w:cs="Arial"/>
                <w:sz w:val="18"/>
                <w:szCs w:val="18"/>
              </w:rPr>
              <w:t xml:space="preserve">provide the consumer with a notice in writing, or if the consumer agrees, electronically, that is segregated from all other information and describes the institution’s overdraft service; (12 CFR 1005.17(b)(1)(i)) </w:t>
            </w:r>
          </w:p>
        </w:tc>
        <w:tc>
          <w:tcPr>
            <w:tcW w:w="660" w:type="dxa"/>
          </w:tcPr>
          <w:p w14:paraId="69981C39" w14:textId="77777777" w:rsidR="003D07CA" w:rsidRPr="00637580" w:rsidRDefault="003D07CA" w:rsidP="003E1F68">
            <w:pPr>
              <w:spacing w:before="40" w:after="40"/>
              <w:jc w:val="center"/>
              <w:rPr>
                <w:rFonts w:ascii="Arial" w:hAnsi="Arial" w:cs="Arial"/>
                <w:sz w:val="18"/>
                <w:szCs w:val="18"/>
              </w:rPr>
            </w:pPr>
          </w:p>
        </w:tc>
        <w:tc>
          <w:tcPr>
            <w:tcW w:w="660" w:type="dxa"/>
          </w:tcPr>
          <w:p w14:paraId="69981C3A" w14:textId="77777777" w:rsidR="003D07CA" w:rsidRPr="00637580" w:rsidRDefault="003D07CA" w:rsidP="003E1F68">
            <w:pPr>
              <w:spacing w:before="40" w:after="40"/>
              <w:jc w:val="center"/>
              <w:rPr>
                <w:rFonts w:ascii="Arial" w:hAnsi="Arial" w:cs="Arial"/>
                <w:sz w:val="18"/>
                <w:szCs w:val="18"/>
              </w:rPr>
            </w:pPr>
          </w:p>
        </w:tc>
        <w:tc>
          <w:tcPr>
            <w:tcW w:w="660" w:type="dxa"/>
          </w:tcPr>
          <w:p w14:paraId="69981C3B" w14:textId="77777777" w:rsidR="003D07CA" w:rsidRPr="00637580" w:rsidRDefault="003D07CA" w:rsidP="003E1F68">
            <w:pPr>
              <w:spacing w:before="40" w:after="40"/>
              <w:jc w:val="center"/>
              <w:rPr>
                <w:rFonts w:ascii="Arial" w:hAnsi="Arial" w:cs="Arial"/>
                <w:sz w:val="18"/>
                <w:szCs w:val="18"/>
              </w:rPr>
            </w:pPr>
          </w:p>
        </w:tc>
      </w:tr>
      <w:tr w:rsidR="003D07CA" w:rsidRPr="00637580" w14:paraId="69981C41" w14:textId="77777777" w:rsidTr="003E1F68">
        <w:tc>
          <w:tcPr>
            <w:tcW w:w="7020" w:type="dxa"/>
          </w:tcPr>
          <w:p w14:paraId="69981C3D" w14:textId="77777777" w:rsidR="003D07CA" w:rsidRPr="00637580" w:rsidRDefault="003D07CA" w:rsidP="00525B7F">
            <w:pPr>
              <w:pStyle w:val="ChecklistBullet1"/>
              <w:numPr>
                <w:ilvl w:val="0"/>
                <w:numId w:val="128"/>
              </w:numPr>
              <w:tabs>
                <w:tab w:val="clear" w:pos="3600"/>
              </w:tabs>
              <w:ind w:left="882"/>
              <w:rPr>
                <w:rFonts w:ascii="Arial" w:hAnsi="Arial" w:cs="Arial"/>
                <w:sz w:val="18"/>
                <w:szCs w:val="18"/>
              </w:rPr>
            </w:pPr>
            <w:r w:rsidRPr="00637580">
              <w:rPr>
                <w:rFonts w:ascii="Arial" w:hAnsi="Arial" w:cs="Arial"/>
                <w:sz w:val="18"/>
                <w:szCs w:val="18"/>
              </w:rPr>
              <w:t xml:space="preserve">provide a reasonable opportunity for the consumer to affirmatively consent, or opt-in, to the institution’s payment of ATM and one-time debit card transactions; (12 CFR 1005.17(b)(1)(ii)) </w:t>
            </w:r>
          </w:p>
        </w:tc>
        <w:tc>
          <w:tcPr>
            <w:tcW w:w="660" w:type="dxa"/>
          </w:tcPr>
          <w:p w14:paraId="69981C3E" w14:textId="77777777" w:rsidR="003D07CA" w:rsidRPr="00637580" w:rsidRDefault="003D07CA" w:rsidP="003E1F68">
            <w:pPr>
              <w:spacing w:before="40" w:after="40"/>
              <w:jc w:val="center"/>
              <w:rPr>
                <w:rFonts w:ascii="Arial" w:hAnsi="Arial" w:cs="Arial"/>
                <w:sz w:val="18"/>
                <w:szCs w:val="18"/>
              </w:rPr>
            </w:pPr>
          </w:p>
        </w:tc>
        <w:tc>
          <w:tcPr>
            <w:tcW w:w="660" w:type="dxa"/>
          </w:tcPr>
          <w:p w14:paraId="69981C3F" w14:textId="77777777" w:rsidR="003D07CA" w:rsidRPr="00637580" w:rsidRDefault="003D07CA" w:rsidP="003E1F68">
            <w:pPr>
              <w:spacing w:before="40" w:after="40"/>
              <w:jc w:val="center"/>
              <w:rPr>
                <w:rFonts w:ascii="Arial" w:hAnsi="Arial" w:cs="Arial"/>
                <w:sz w:val="18"/>
                <w:szCs w:val="18"/>
              </w:rPr>
            </w:pPr>
          </w:p>
        </w:tc>
        <w:tc>
          <w:tcPr>
            <w:tcW w:w="660" w:type="dxa"/>
          </w:tcPr>
          <w:p w14:paraId="69981C40" w14:textId="77777777" w:rsidR="003D07CA" w:rsidRPr="00637580" w:rsidRDefault="003D07CA" w:rsidP="003E1F68">
            <w:pPr>
              <w:spacing w:before="40" w:after="40"/>
              <w:jc w:val="center"/>
              <w:rPr>
                <w:rFonts w:ascii="Arial" w:hAnsi="Arial" w:cs="Arial"/>
                <w:sz w:val="18"/>
                <w:szCs w:val="18"/>
              </w:rPr>
            </w:pPr>
          </w:p>
        </w:tc>
      </w:tr>
      <w:tr w:rsidR="003D07CA" w:rsidRPr="00637580" w14:paraId="69981C46" w14:textId="77777777" w:rsidTr="003E1F68">
        <w:tc>
          <w:tcPr>
            <w:tcW w:w="7020" w:type="dxa"/>
          </w:tcPr>
          <w:p w14:paraId="69981C42" w14:textId="77777777" w:rsidR="003D07CA" w:rsidRPr="00637580" w:rsidRDefault="003D07CA" w:rsidP="00525B7F">
            <w:pPr>
              <w:pStyle w:val="ChecklistBullet1"/>
              <w:numPr>
                <w:ilvl w:val="0"/>
                <w:numId w:val="128"/>
              </w:numPr>
              <w:tabs>
                <w:tab w:val="clear" w:pos="3600"/>
              </w:tabs>
              <w:ind w:left="882"/>
              <w:rPr>
                <w:rFonts w:ascii="Arial" w:hAnsi="Arial" w:cs="Arial"/>
                <w:b/>
                <w:bCs/>
                <w:color w:val="000000"/>
                <w:sz w:val="18"/>
                <w:szCs w:val="18"/>
              </w:rPr>
            </w:pPr>
            <w:r w:rsidRPr="00637580">
              <w:rPr>
                <w:rFonts w:ascii="Arial" w:hAnsi="Arial" w:cs="Arial"/>
                <w:sz w:val="18"/>
                <w:szCs w:val="18"/>
              </w:rPr>
              <w:t>obtain the consumer’s affirmative consent, or opt-in, to the institution’s payment of ATM or one-time debit card transactions; and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1005.17(b)(1)(iii))</w:t>
            </w:r>
          </w:p>
        </w:tc>
        <w:tc>
          <w:tcPr>
            <w:tcW w:w="660" w:type="dxa"/>
          </w:tcPr>
          <w:p w14:paraId="69981C43" w14:textId="77777777" w:rsidR="003D07CA" w:rsidRPr="00637580" w:rsidRDefault="003D07CA" w:rsidP="003E1F68">
            <w:pPr>
              <w:spacing w:before="40" w:after="40"/>
              <w:jc w:val="center"/>
              <w:rPr>
                <w:rFonts w:ascii="Arial" w:hAnsi="Arial" w:cs="Arial"/>
                <w:sz w:val="18"/>
                <w:szCs w:val="18"/>
              </w:rPr>
            </w:pPr>
          </w:p>
        </w:tc>
        <w:tc>
          <w:tcPr>
            <w:tcW w:w="660" w:type="dxa"/>
          </w:tcPr>
          <w:p w14:paraId="69981C44" w14:textId="77777777" w:rsidR="003D07CA" w:rsidRPr="00637580" w:rsidRDefault="003D07CA" w:rsidP="003E1F68">
            <w:pPr>
              <w:spacing w:before="40" w:after="40"/>
              <w:jc w:val="center"/>
              <w:rPr>
                <w:rFonts w:ascii="Arial" w:hAnsi="Arial" w:cs="Arial"/>
                <w:sz w:val="18"/>
                <w:szCs w:val="18"/>
              </w:rPr>
            </w:pPr>
          </w:p>
        </w:tc>
        <w:tc>
          <w:tcPr>
            <w:tcW w:w="660" w:type="dxa"/>
          </w:tcPr>
          <w:p w14:paraId="69981C45" w14:textId="77777777" w:rsidR="003D07CA" w:rsidRPr="00637580" w:rsidRDefault="003D07CA" w:rsidP="003E1F68">
            <w:pPr>
              <w:spacing w:before="40" w:after="40"/>
              <w:jc w:val="center"/>
              <w:rPr>
                <w:rFonts w:ascii="Arial" w:hAnsi="Arial" w:cs="Arial"/>
                <w:sz w:val="18"/>
                <w:szCs w:val="18"/>
              </w:rPr>
            </w:pPr>
          </w:p>
        </w:tc>
      </w:tr>
      <w:tr w:rsidR="003D07CA" w:rsidRPr="00637580" w14:paraId="69981C4B" w14:textId="77777777" w:rsidTr="003E1F68">
        <w:tc>
          <w:tcPr>
            <w:tcW w:w="7020" w:type="dxa"/>
          </w:tcPr>
          <w:p w14:paraId="69981C47" w14:textId="77777777" w:rsidR="003D07CA" w:rsidRPr="00637580" w:rsidRDefault="003D07CA" w:rsidP="00525B7F">
            <w:pPr>
              <w:pStyle w:val="ChecklistBullet1"/>
              <w:numPr>
                <w:ilvl w:val="0"/>
                <w:numId w:val="128"/>
              </w:numPr>
              <w:tabs>
                <w:tab w:val="clear" w:pos="3600"/>
              </w:tabs>
              <w:ind w:left="882"/>
              <w:rPr>
                <w:rFonts w:ascii="Arial" w:hAnsi="Arial" w:cs="Arial"/>
                <w:b/>
                <w:bCs/>
                <w:color w:val="000000"/>
                <w:sz w:val="18"/>
                <w:szCs w:val="18"/>
              </w:rPr>
            </w:pPr>
            <w:r w:rsidRPr="00637580">
              <w:rPr>
                <w:rFonts w:ascii="Arial" w:hAnsi="Arial" w:cs="Arial"/>
                <w:sz w:val="18"/>
                <w:szCs w:val="18"/>
              </w:rPr>
              <w:t>provide the consumer with confirmation of the consumer’s consent in writing, or if the consumer agrees, electronically, which includes a statement informing the consumer of t</w:t>
            </w:r>
            <w:r w:rsidR="005612BA">
              <w:rPr>
                <w:rFonts w:ascii="Arial" w:hAnsi="Arial" w:cs="Arial"/>
                <w:sz w:val="18"/>
                <w:szCs w:val="18"/>
              </w:rPr>
              <w:t xml:space="preserve">he right to revoke such consent? </w:t>
            </w:r>
            <w:r w:rsidRPr="00637580">
              <w:rPr>
                <w:rFonts w:ascii="Arial" w:hAnsi="Arial" w:cs="Arial"/>
                <w:sz w:val="18"/>
                <w:szCs w:val="18"/>
              </w:rPr>
              <w:t>(12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 xml:space="preserve">1005.17(b)(1)(iv)) </w:t>
            </w:r>
          </w:p>
        </w:tc>
        <w:tc>
          <w:tcPr>
            <w:tcW w:w="660" w:type="dxa"/>
          </w:tcPr>
          <w:p w14:paraId="69981C48" w14:textId="77777777" w:rsidR="003D07CA" w:rsidRPr="00637580" w:rsidRDefault="003D07CA" w:rsidP="003E1F68">
            <w:pPr>
              <w:spacing w:before="40" w:after="40"/>
              <w:jc w:val="center"/>
              <w:rPr>
                <w:rFonts w:ascii="Arial" w:hAnsi="Arial" w:cs="Arial"/>
                <w:sz w:val="18"/>
                <w:szCs w:val="18"/>
              </w:rPr>
            </w:pPr>
          </w:p>
        </w:tc>
        <w:tc>
          <w:tcPr>
            <w:tcW w:w="660" w:type="dxa"/>
          </w:tcPr>
          <w:p w14:paraId="69981C49" w14:textId="77777777" w:rsidR="003D07CA" w:rsidRPr="00637580" w:rsidRDefault="003D07CA" w:rsidP="003E1F68">
            <w:pPr>
              <w:spacing w:before="40" w:after="40"/>
              <w:jc w:val="center"/>
              <w:rPr>
                <w:rFonts w:ascii="Arial" w:hAnsi="Arial" w:cs="Arial"/>
                <w:sz w:val="18"/>
                <w:szCs w:val="18"/>
              </w:rPr>
            </w:pPr>
          </w:p>
        </w:tc>
        <w:tc>
          <w:tcPr>
            <w:tcW w:w="660" w:type="dxa"/>
          </w:tcPr>
          <w:p w14:paraId="69981C4A" w14:textId="77777777" w:rsidR="003D07CA" w:rsidRPr="00637580" w:rsidRDefault="003D07CA" w:rsidP="003E1F68">
            <w:pPr>
              <w:spacing w:before="40" w:after="40"/>
              <w:jc w:val="center"/>
              <w:rPr>
                <w:rFonts w:ascii="Arial" w:hAnsi="Arial" w:cs="Arial"/>
                <w:sz w:val="18"/>
                <w:szCs w:val="18"/>
              </w:rPr>
            </w:pPr>
          </w:p>
        </w:tc>
      </w:tr>
    </w:tbl>
    <w:p w14:paraId="69981C4C" w14:textId="77777777" w:rsidR="003D07CA" w:rsidRPr="00D7575F" w:rsidRDefault="003D07CA" w:rsidP="003D07CA">
      <w:pPr>
        <w:rPr>
          <w:rFonts w:ascii="Arial" w:hAnsi="Arial" w:cs="Arial"/>
          <w:sz w:val="18"/>
          <w:szCs w:val="18"/>
        </w:rPr>
      </w:pPr>
      <w:r w:rsidRPr="00D7575F">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C51" w14:textId="77777777" w:rsidTr="003E1F68">
        <w:tc>
          <w:tcPr>
            <w:tcW w:w="7020" w:type="dxa"/>
          </w:tcPr>
          <w:p w14:paraId="69981C4D"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tcPr>
          <w:p w14:paraId="69981C4E"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tcPr>
          <w:p w14:paraId="69981C4F"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60" w:type="dxa"/>
          </w:tcPr>
          <w:p w14:paraId="69981C50"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C56" w14:textId="77777777" w:rsidTr="003E1F68">
        <w:tc>
          <w:tcPr>
            <w:tcW w:w="7020" w:type="dxa"/>
          </w:tcPr>
          <w:p w14:paraId="69981C52" w14:textId="77777777" w:rsidR="003D07CA" w:rsidRPr="00637580" w:rsidRDefault="003D07CA" w:rsidP="00525B7F">
            <w:pPr>
              <w:pStyle w:val="Checklist1"/>
              <w:numPr>
                <w:ilvl w:val="0"/>
                <w:numId w:val="92"/>
              </w:numPr>
              <w:spacing w:before="40" w:after="40"/>
              <w:ind w:left="522" w:hanging="522"/>
              <w:rPr>
                <w:rFonts w:ascii="Arial" w:hAnsi="Arial" w:cs="Arial"/>
                <w:sz w:val="18"/>
                <w:szCs w:val="18"/>
              </w:rPr>
            </w:pPr>
            <w:r w:rsidRPr="00637580">
              <w:rPr>
                <w:rFonts w:ascii="Arial" w:hAnsi="Arial" w:cs="Arial"/>
                <w:sz w:val="18"/>
                <w:szCs w:val="18"/>
              </w:rPr>
              <w:t>Does the financial institution ensure that it does not condition the payment of any overdrafts for checks, ACH transactions, and other types of transactions on the consumer affirmatively consenting to the institution’s payment of ATM and one-time debit card transactions pursuant to the institution’s “overdraft services”? (12 CFR 1005.17(b)(2)(i))</w:t>
            </w:r>
          </w:p>
        </w:tc>
        <w:tc>
          <w:tcPr>
            <w:tcW w:w="660" w:type="dxa"/>
          </w:tcPr>
          <w:p w14:paraId="69981C53" w14:textId="77777777" w:rsidR="003D07CA" w:rsidRPr="00637580" w:rsidRDefault="003D07CA" w:rsidP="003E1F68">
            <w:pPr>
              <w:spacing w:before="40" w:after="40"/>
              <w:jc w:val="center"/>
              <w:rPr>
                <w:rFonts w:ascii="Arial" w:hAnsi="Arial" w:cs="Arial"/>
                <w:sz w:val="18"/>
                <w:szCs w:val="18"/>
              </w:rPr>
            </w:pPr>
          </w:p>
        </w:tc>
        <w:tc>
          <w:tcPr>
            <w:tcW w:w="660" w:type="dxa"/>
          </w:tcPr>
          <w:p w14:paraId="69981C54" w14:textId="77777777" w:rsidR="003D07CA" w:rsidRPr="00637580" w:rsidRDefault="003D07CA" w:rsidP="003E1F68">
            <w:pPr>
              <w:spacing w:before="40" w:after="40"/>
              <w:jc w:val="center"/>
              <w:rPr>
                <w:rFonts w:ascii="Arial" w:hAnsi="Arial" w:cs="Arial"/>
                <w:sz w:val="18"/>
                <w:szCs w:val="18"/>
              </w:rPr>
            </w:pPr>
          </w:p>
        </w:tc>
        <w:tc>
          <w:tcPr>
            <w:tcW w:w="660" w:type="dxa"/>
          </w:tcPr>
          <w:p w14:paraId="69981C55" w14:textId="77777777" w:rsidR="003D07CA" w:rsidRPr="00637580" w:rsidRDefault="003D07CA" w:rsidP="003E1F68">
            <w:pPr>
              <w:spacing w:before="40" w:after="40"/>
              <w:jc w:val="center"/>
              <w:rPr>
                <w:rFonts w:ascii="Arial" w:hAnsi="Arial" w:cs="Arial"/>
                <w:sz w:val="18"/>
                <w:szCs w:val="18"/>
              </w:rPr>
            </w:pPr>
          </w:p>
        </w:tc>
      </w:tr>
      <w:tr w:rsidR="003D07CA" w:rsidRPr="00637580" w14:paraId="69981C5B" w14:textId="77777777" w:rsidTr="003E1F68">
        <w:tc>
          <w:tcPr>
            <w:tcW w:w="7020" w:type="dxa"/>
          </w:tcPr>
          <w:p w14:paraId="69981C57" w14:textId="77777777" w:rsidR="003D07CA" w:rsidRPr="00D7575F" w:rsidRDefault="003D07CA" w:rsidP="00525B7F">
            <w:pPr>
              <w:pStyle w:val="Checklist1"/>
              <w:numPr>
                <w:ilvl w:val="0"/>
                <w:numId w:val="92"/>
              </w:numPr>
              <w:spacing w:before="40" w:after="40"/>
              <w:ind w:left="522" w:hanging="540"/>
              <w:rPr>
                <w:rFonts w:ascii="Arial" w:hAnsi="Arial" w:cs="Arial"/>
                <w:sz w:val="18"/>
                <w:szCs w:val="18"/>
              </w:rPr>
            </w:pPr>
            <w:r w:rsidRPr="00637580">
              <w:rPr>
                <w:rFonts w:ascii="Arial" w:hAnsi="Arial" w:cs="Arial"/>
                <w:sz w:val="18"/>
                <w:szCs w:val="18"/>
              </w:rPr>
              <w:t>Does the financial institution pay</w:t>
            </w:r>
            <w:r w:rsidR="00C42DF8">
              <w:rPr>
                <w:rFonts w:ascii="Arial" w:hAnsi="Arial" w:cs="Arial"/>
                <w:sz w:val="18"/>
                <w:szCs w:val="18"/>
              </w:rPr>
              <w:t xml:space="preserve"> </w:t>
            </w:r>
            <w:r w:rsidRPr="00637580">
              <w:rPr>
                <w:rFonts w:ascii="Arial" w:hAnsi="Arial" w:cs="Arial"/>
                <w:sz w:val="18"/>
                <w:szCs w:val="18"/>
              </w:rPr>
              <w:t xml:space="preserve">checks, ACH transactions, and other types of transactions that overdraw the consumer’s account </w:t>
            </w:r>
            <w:r w:rsidR="00732448">
              <w:rPr>
                <w:rFonts w:ascii="Arial" w:hAnsi="Arial" w:cs="Arial"/>
                <w:sz w:val="18"/>
                <w:szCs w:val="18"/>
              </w:rPr>
              <w:t>without regard to</w:t>
            </w:r>
            <w:r w:rsidRPr="00637580">
              <w:rPr>
                <w:rFonts w:ascii="Arial" w:hAnsi="Arial" w:cs="Arial"/>
                <w:sz w:val="18"/>
                <w:szCs w:val="18"/>
              </w:rPr>
              <w:t xml:space="preserve"> whether the consumer has affirmatively consented to the institution’s </w:t>
            </w:r>
            <w:r w:rsidRPr="00D7575F">
              <w:rPr>
                <w:rFonts w:ascii="Arial" w:hAnsi="Arial" w:cs="Arial"/>
                <w:sz w:val="18"/>
                <w:szCs w:val="18"/>
              </w:rPr>
              <w:t>overdraft protection service for ATM and one-time debit card transactions? (12</w:t>
            </w:r>
            <w:r>
              <w:rPr>
                <w:rFonts w:ascii="Arial" w:hAnsi="Arial" w:cs="Arial"/>
                <w:sz w:val="18"/>
                <w:szCs w:val="18"/>
              </w:rPr>
              <w:t> </w:t>
            </w:r>
            <w:r w:rsidRPr="00D7575F">
              <w:rPr>
                <w:rFonts w:ascii="Arial" w:hAnsi="Arial" w:cs="Arial"/>
                <w:sz w:val="18"/>
                <w:szCs w:val="18"/>
              </w:rPr>
              <w:t>CFR</w:t>
            </w:r>
            <w:r>
              <w:rPr>
                <w:rFonts w:ascii="Arial" w:hAnsi="Arial" w:cs="Arial"/>
                <w:sz w:val="18"/>
                <w:szCs w:val="18"/>
              </w:rPr>
              <w:t> </w:t>
            </w:r>
            <w:r w:rsidRPr="00D7575F">
              <w:rPr>
                <w:rFonts w:ascii="Arial" w:hAnsi="Arial" w:cs="Arial"/>
                <w:sz w:val="18"/>
                <w:szCs w:val="18"/>
              </w:rPr>
              <w:t xml:space="preserve">1005.17(b)(2)(ii)) </w:t>
            </w:r>
          </w:p>
        </w:tc>
        <w:tc>
          <w:tcPr>
            <w:tcW w:w="660" w:type="dxa"/>
          </w:tcPr>
          <w:p w14:paraId="69981C58" w14:textId="77777777" w:rsidR="003D07CA" w:rsidRPr="00637580" w:rsidRDefault="003D07CA" w:rsidP="003E1F68">
            <w:pPr>
              <w:spacing w:before="40" w:after="40"/>
              <w:jc w:val="center"/>
              <w:rPr>
                <w:rFonts w:ascii="Arial" w:hAnsi="Arial" w:cs="Arial"/>
                <w:sz w:val="18"/>
                <w:szCs w:val="18"/>
              </w:rPr>
            </w:pPr>
          </w:p>
        </w:tc>
        <w:tc>
          <w:tcPr>
            <w:tcW w:w="660" w:type="dxa"/>
          </w:tcPr>
          <w:p w14:paraId="69981C59" w14:textId="77777777" w:rsidR="003D07CA" w:rsidRPr="00637580" w:rsidRDefault="003D07CA" w:rsidP="003E1F68">
            <w:pPr>
              <w:spacing w:before="40" w:after="40"/>
              <w:jc w:val="center"/>
              <w:rPr>
                <w:rFonts w:ascii="Arial" w:hAnsi="Arial" w:cs="Arial"/>
                <w:sz w:val="18"/>
                <w:szCs w:val="18"/>
              </w:rPr>
            </w:pPr>
          </w:p>
        </w:tc>
        <w:tc>
          <w:tcPr>
            <w:tcW w:w="660" w:type="dxa"/>
          </w:tcPr>
          <w:p w14:paraId="69981C5A" w14:textId="77777777" w:rsidR="003D07CA" w:rsidRPr="00637580" w:rsidRDefault="003D07CA" w:rsidP="003E1F68">
            <w:pPr>
              <w:spacing w:before="40" w:after="40"/>
              <w:jc w:val="center"/>
              <w:rPr>
                <w:rFonts w:ascii="Arial" w:hAnsi="Arial" w:cs="Arial"/>
                <w:sz w:val="18"/>
                <w:szCs w:val="18"/>
              </w:rPr>
            </w:pPr>
          </w:p>
        </w:tc>
      </w:tr>
      <w:tr w:rsidR="003D07CA" w:rsidRPr="00637580" w14:paraId="69981C64" w14:textId="77777777" w:rsidTr="003E1F68">
        <w:tc>
          <w:tcPr>
            <w:tcW w:w="7020" w:type="dxa"/>
          </w:tcPr>
          <w:p w14:paraId="69981C5C" w14:textId="77777777" w:rsidR="003D07CA" w:rsidRPr="00637580" w:rsidRDefault="003D07CA" w:rsidP="00525B7F">
            <w:pPr>
              <w:pStyle w:val="Checklist1"/>
              <w:numPr>
                <w:ilvl w:val="0"/>
                <w:numId w:val="92"/>
              </w:numPr>
              <w:spacing w:before="40" w:after="40"/>
              <w:ind w:left="522" w:hanging="540"/>
              <w:rPr>
                <w:rFonts w:ascii="Arial" w:hAnsi="Arial" w:cs="Arial"/>
                <w:sz w:val="18"/>
                <w:szCs w:val="18"/>
              </w:rPr>
            </w:pPr>
            <w:r w:rsidRPr="00637580">
              <w:rPr>
                <w:rFonts w:ascii="Arial" w:hAnsi="Arial" w:cs="Arial"/>
                <w:sz w:val="18"/>
                <w:szCs w:val="18"/>
              </w:rPr>
              <w:t xml:space="preserve">For consumers who have </w:t>
            </w:r>
            <w:r w:rsidRPr="00637580">
              <w:rPr>
                <w:rFonts w:ascii="Arial" w:hAnsi="Arial" w:cs="Arial"/>
                <w:b/>
                <w:bCs/>
                <w:sz w:val="18"/>
                <w:szCs w:val="18"/>
              </w:rPr>
              <w:t>not</w:t>
            </w:r>
            <w:r w:rsidRPr="00637580">
              <w:rPr>
                <w:rFonts w:ascii="Arial" w:hAnsi="Arial" w:cs="Arial"/>
                <w:sz w:val="18"/>
                <w:szCs w:val="18"/>
              </w:rPr>
              <w:t xml:space="preserve"> opted in, and if an overdraft fee or charge is based on the amount of the outstanding negative balance, does the institution only assess fees whe</w:t>
            </w:r>
            <w:r w:rsidR="00E836FA">
              <w:rPr>
                <w:rFonts w:ascii="Arial" w:hAnsi="Arial" w:cs="Arial"/>
                <w:sz w:val="18"/>
                <w:szCs w:val="18"/>
              </w:rPr>
              <w:t>n</w:t>
            </w:r>
            <w:r w:rsidRPr="00637580">
              <w:rPr>
                <w:rFonts w:ascii="Arial" w:hAnsi="Arial" w:cs="Arial"/>
                <w:sz w:val="18"/>
                <w:szCs w:val="18"/>
              </w:rPr>
              <w:t xml:space="preserve"> the negative balance is attributable in whole or in part to a check, ACH, or other type of transaction not subject to the prohibition on assessment of overdraft fees? </w:t>
            </w:r>
          </w:p>
          <w:p w14:paraId="69981C5D" w14:textId="77777777" w:rsidR="003D07CA" w:rsidRPr="00637580" w:rsidRDefault="003D07CA" w:rsidP="003E1F68">
            <w:pPr>
              <w:pStyle w:val="Checklist1"/>
              <w:spacing w:before="40" w:after="40"/>
              <w:ind w:left="522"/>
              <w:rPr>
                <w:rFonts w:ascii="Arial" w:hAnsi="Arial" w:cs="Arial"/>
                <w:sz w:val="18"/>
                <w:szCs w:val="18"/>
              </w:rPr>
            </w:pPr>
          </w:p>
          <w:p w14:paraId="69981C5E" w14:textId="77777777" w:rsidR="003D07CA" w:rsidRPr="00637580" w:rsidRDefault="003D07CA" w:rsidP="003E1F68">
            <w:pPr>
              <w:pStyle w:val="Checklist1"/>
              <w:spacing w:before="40" w:after="40"/>
              <w:ind w:left="522"/>
              <w:rPr>
                <w:rFonts w:ascii="Arial" w:hAnsi="Arial" w:cs="Arial"/>
                <w:sz w:val="18"/>
                <w:szCs w:val="18"/>
              </w:rPr>
            </w:pPr>
            <w:r w:rsidRPr="00637580">
              <w:rPr>
                <w:rFonts w:ascii="Arial" w:hAnsi="Arial" w:cs="Arial"/>
                <w:sz w:val="18"/>
                <w:szCs w:val="18"/>
              </w:rPr>
              <w:t xml:space="preserve">For consumers who have </w:t>
            </w:r>
            <w:r w:rsidRPr="00637580">
              <w:rPr>
                <w:rFonts w:ascii="Arial" w:hAnsi="Arial" w:cs="Arial"/>
                <w:b/>
                <w:bCs/>
                <w:sz w:val="18"/>
                <w:szCs w:val="18"/>
              </w:rPr>
              <w:t>not</w:t>
            </w:r>
            <w:r w:rsidRPr="00637580">
              <w:rPr>
                <w:rFonts w:ascii="Arial" w:hAnsi="Arial" w:cs="Arial"/>
                <w:sz w:val="18"/>
                <w:szCs w:val="18"/>
              </w:rPr>
              <w:t xml:space="preserve"> opted in, does the financial institution only assess daily or sustained overdraft, negative balance, or similar fees or charges whe</w:t>
            </w:r>
            <w:r w:rsidR="00E836FA">
              <w:rPr>
                <w:rFonts w:ascii="Arial" w:hAnsi="Arial" w:cs="Arial"/>
                <w:sz w:val="18"/>
                <w:szCs w:val="18"/>
              </w:rPr>
              <w:t>n</w:t>
            </w:r>
            <w:r w:rsidRPr="00637580">
              <w:rPr>
                <w:rFonts w:ascii="Arial" w:hAnsi="Arial" w:cs="Arial"/>
                <w:sz w:val="18"/>
                <w:szCs w:val="18"/>
              </w:rPr>
              <w:t xml:space="preserve"> the negative balance is attributable in whole or in part to a check, ACH, or other type of transaction not subject to the prohibition on assessment of overdraft fees? </w:t>
            </w:r>
          </w:p>
          <w:p w14:paraId="69981C5F" w14:textId="77777777" w:rsidR="003D07CA" w:rsidRPr="00637580" w:rsidRDefault="003D07CA" w:rsidP="003E1F68">
            <w:pPr>
              <w:pStyle w:val="Checklist1"/>
              <w:spacing w:before="40" w:after="40"/>
              <w:ind w:left="522"/>
              <w:rPr>
                <w:rFonts w:ascii="Arial" w:hAnsi="Arial" w:cs="Arial"/>
                <w:sz w:val="18"/>
                <w:szCs w:val="18"/>
              </w:rPr>
            </w:pPr>
          </w:p>
          <w:p w14:paraId="69981C60" w14:textId="77777777" w:rsidR="003D07CA" w:rsidRPr="00637580" w:rsidRDefault="003D07CA" w:rsidP="003E1F68">
            <w:pPr>
              <w:pStyle w:val="Checklist1"/>
              <w:spacing w:before="40" w:after="40"/>
              <w:ind w:left="522"/>
              <w:rPr>
                <w:rFonts w:ascii="Arial" w:hAnsi="Arial" w:cs="Arial"/>
                <w:sz w:val="18"/>
                <w:szCs w:val="18"/>
              </w:rPr>
            </w:pPr>
            <w:r w:rsidRPr="00637580">
              <w:rPr>
                <w:rFonts w:ascii="Arial" w:hAnsi="Arial" w:cs="Arial"/>
                <w:sz w:val="18"/>
                <w:szCs w:val="18"/>
              </w:rPr>
              <w:t>Does the institution base the date on which such a daily or sustained overdraft, negative balance, or similar fee or charge is assessed on the date on which the check, ACH, or other type of transaction was paid into overdraft? (staff commentary 1005.17(b)-9)</w:t>
            </w:r>
          </w:p>
        </w:tc>
        <w:tc>
          <w:tcPr>
            <w:tcW w:w="660" w:type="dxa"/>
          </w:tcPr>
          <w:p w14:paraId="69981C61" w14:textId="77777777" w:rsidR="003D07CA" w:rsidRPr="00637580" w:rsidRDefault="003D07CA" w:rsidP="003E1F68">
            <w:pPr>
              <w:spacing w:before="40" w:after="40"/>
              <w:jc w:val="center"/>
              <w:rPr>
                <w:rFonts w:ascii="Arial" w:hAnsi="Arial" w:cs="Arial"/>
                <w:sz w:val="18"/>
                <w:szCs w:val="18"/>
              </w:rPr>
            </w:pPr>
          </w:p>
        </w:tc>
        <w:tc>
          <w:tcPr>
            <w:tcW w:w="660" w:type="dxa"/>
          </w:tcPr>
          <w:p w14:paraId="69981C62" w14:textId="77777777" w:rsidR="003D07CA" w:rsidRPr="00637580" w:rsidRDefault="003D07CA" w:rsidP="003E1F68">
            <w:pPr>
              <w:spacing w:before="40" w:after="40"/>
              <w:jc w:val="center"/>
              <w:rPr>
                <w:rFonts w:ascii="Arial" w:hAnsi="Arial" w:cs="Arial"/>
                <w:sz w:val="18"/>
                <w:szCs w:val="18"/>
              </w:rPr>
            </w:pPr>
          </w:p>
        </w:tc>
        <w:tc>
          <w:tcPr>
            <w:tcW w:w="660" w:type="dxa"/>
          </w:tcPr>
          <w:p w14:paraId="69981C63" w14:textId="77777777" w:rsidR="003D07CA" w:rsidRPr="00637580" w:rsidRDefault="003D07CA" w:rsidP="003E1F68">
            <w:pPr>
              <w:spacing w:before="40" w:after="40"/>
              <w:jc w:val="center"/>
              <w:rPr>
                <w:rFonts w:ascii="Arial" w:hAnsi="Arial" w:cs="Arial"/>
                <w:sz w:val="18"/>
                <w:szCs w:val="18"/>
              </w:rPr>
            </w:pPr>
          </w:p>
        </w:tc>
      </w:tr>
      <w:tr w:rsidR="003D07CA" w:rsidRPr="00637580" w14:paraId="69981C69" w14:textId="77777777" w:rsidTr="003E1F68">
        <w:tc>
          <w:tcPr>
            <w:tcW w:w="7020" w:type="dxa"/>
          </w:tcPr>
          <w:p w14:paraId="69981C65" w14:textId="77777777" w:rsidR="003D07CA" w:rsidRPr="007C7C6F" w:rsidRDefault="003D07CA" w:rsidP="00525B7F">
            <w:pPr>
              <w:pStyle w:val="Checklist1"/>
              <w:numPr>
                <w:ilvl w:val="0"/>
                <w:numId w:val="92"/>
              </w:numPr>
              <w:spacing w:before="40" w:after="40"/>
              <w:ind w:left="522" w:hanging="540"/>
              <w:rPr>
                <w:rFonts w:ascii="Arial" w:hAnsi="Arial" w:cs="Arial"/>
                <w:sz w:val="18"/>
                <w:szCs w:val="18"/>
              </w:rPr>
            </w:pPr>
            <w:r w:rsidRPr="00637580">
              <w:rPr>
                <w:rFonts w:ascii="Arial" w:hAnsi="Arial" w:cs="Arial"/>
                <w:sz w:val="18"/>
                <w:szCs w:val="18"/>
              </w:rPr>
              <w:t>Does the financial institution provide consumers who do not affirmatively consent to the institution’s overdraft service for ATM and one-time debit card transactions the same account terms, conditions, and features that it provides to consumers who affirmatively consent, except for the overdraft service for ATM and one-time debit card transactions?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1005.17(b)(3))</w:t>
            </w:r>
          </w:p>
        </w:tc>
        <w:tc>
          <w:tcPr>
            <w:tcW w:w="660" w:type="dxa"/>
          </w:tcPr>
          <w:p w14:paraId="69981C66" w14:textId="77777777" w:rsidR="003D07CA" w:rsidRPr="007C7C6F" w:rsidRDefault="003D07CA" w:rsidP="003E1F68">
            <w:pPr>
              <w:spacing w:before="40" w:after="40"/>
              <w:jc w:val="center"/>
              <w:rPr>
                <w:rFonts w:ascii="Arial" w:hAnsi="Arial" w:cs="Arial"/>
                <w:sz w:val="18"/>
                <w:szCs w:val="18"/>
              </w:rPr>
            </w:pPr>
          </w:p>
        </w:tc>
        <w:tc>
          <w:tcPr>
            <w:tcW w:w="660" w:type="dxa"/>
          </w:tcPr>
          <w:p w14:paraId="69981C67" w14:textId="77777777" w:rsidR="003D07CA" w:rsidRPr="00637580" w:rsidRDefault="003D07CA" w:rsidP="003E1F68">
            <w:pPr>
              <w:spacing w:before="40" w:after="40"/>
              <w:jc w:val="center"/>
              <w:rPr>
                <w:rFonts w:ascii="Arial" w:hAnsi="Arial" w:cs="Arial"/>
                <w:sz w:val="18"/>
                <w:szCs w:val="18"/>
              </w:rPr>
            </w:pPr>
          </w:p>
        </w:tc>
        <w:tc>
          <w:tcPr>
            <w:tcW w:w="660" w:type="dxa"/>
          </w:tcPr>
          <w:p w14:paraId="69981C68" w14:textId="77777777" w:rsidR="003D07CA" w:rsidRPr="00637580" w:rsidRDefault="003D07CA" w:rsidP="003E1F68">
            <w:pPr>
              <w:spacing w:before="40" w:after="40"/>
              <w:jc w:val="center"/>
              <w:rPr>
                <w:rFonts w:ascii="Arial" w:hAnsi="Arial" w:cs="Arial"/>
                <w:sz w:val="18"/>
                <w:szCs w:val="18"/>
              </w:rPr>
            </w:pPr>
          </w:p>
        </w:tc>
      </w:tr>
      <w:tr w:rsidR="003D07CA" w:rsidRPr="00637580" w14:paraId="69981C6E" w14:textId="77777777" w:rsidTr="003E1F68">
        <w:tc>
          <w:tcPr>
            <w:tcW w:w="7020" w:type="dxa"/>
          </w:tcPr>
          <w:p w14:paraId="69981C6A" w14:textId="77777777" w:rsidR="003D07CA" w:rsidRPr="00637580" w:rsidRDefault="003D07CA" w:rsidP="00525B7F">
            <w:pPr>
              <w:pStyle w:val="ListParagraph"/>
              <w:numPr>
                <w:ilvl w:val="0"/>
                <w:numId w:val="100"/>
              </w:numPr>
              <w:spacing w:before="40" w:after="40"/>
              <w:ind w:left="522" w:hanging="540"/>
              <w:rPr>
                <w:rFonts w:ascii="Arial" w:hAnsi="Arial" w:cs="Arial"/>
                <w:sz w:val="18"/>
                <w:szCs w:val="18"/>
              </w:rPr>
            </w:pPr>
            <w:r w:rsidRPr="00637580">
              <w:rPr>
                <w:rFonts w:ascii="Arial" w:hAnsi="Arial" w:cs="Arial"/>
                <w:sz w:val="18"/>
                <w:szCs w:val="18"/>
              </w:rPr>
              <w:t xml:space="preserve">Is the notice required by </w:t>
            </w:r>
            <w:bookmarkStart w:id="8" w:name="OLE_LINK5"/>
            <w:r w:rsidR="007135E4">
              <w:rPr>
                <w:rFonts w:ascii="Arial" w:hAnsi="Arial" w:cs="Arial"/>
                <w:sz w:val="18"/>
                <w:szCs w:val="18"/>
              </w:rPr>
              <w:t>12 CFR 1005.17(b)(1)</w:t>
            </w:r>
            <w:r w:rsidRPr="00637580">
              <w:rPr>
                <w:rFonts w:ascii="Arial" w:hAnsi="Arial" w:cs="Arial"/>
                <w:sz w:val="18"/>
                <w:szCs w:val="18"/>
              </w:rPr>
              <w:t xml:space="preserve">(i) </w:t>
            </w:r>
            <w:bookmarkEnd w:id="8"/>
            <w:r w:rsidRPr="00637580">
              <w:rPr>
                <w:rFonts w:ascii="Arial" w:hAnsi="Arial" w:cs="Arial"/>
                <w:sz w:val="18"/>
                <w:szCs w:val="18"/>
              </w:rPr>
              <w:t xml:space="preserve">substantially similar to Model Form A-9 set forth in </w:t>
            </w:r>
            <w:r>
              <w:rPr>
                <w:rFonts w:ascii="Arial" w:hAnsi="Arial" w:cs="Arial"/>
                <w:sz w:val="18"/>
                <w:szCs w:val="18"/>
              </w:rPr>
              <w:t>a</w:t>
            </w:r>
            <w:r w:rsidRPr="00637580">
              <w:rPr>
                <w:rFonts w:ascii="Arial" w:hAnsi="Arial" w:cs="Arial"/>
                <w:sz w:val="18"/>
                <w:szCs w:val="18"/>
              </w:rPr>
              <w:t xml:space="preserve">ppendix A of 12 CFR 1005.17, including applicable items from the list below, and does it not contain any additional information: (12 CFR 1005.17(d)) </w:t>
            </w:r>
          </w:p>
        </w:tc>
        <w:tc>
          <w:tcPr>
            <w:tcW w:w="660" w:type="dxa"/>
          </w:tcPr>
          <w:p w14:paraId="69981C6B" w14:textId="77777777" w:rsidR="003D07CA" w:rsidRPr="00637580" w:rsidRDefault="003D07CA" w:rsidP="003E1F68">
            <w:pPr>
              <w:spacing w:before="40" w:after="40"/>
              <w:jc w:val="center"/>
              <w:rPr>
                <w:rFonts w:ascii="Arial" w:hAnsi="Arial" w:cs="Arial"/>
                <w:sz w:val="18"/>
                <w:szCs w:val="18"/>
              </w:rPr>
            </w:pPr>
          </w:p>
        </w:tc>
        <w:tc>
          <w:tcPr>
            <w:tcW w:w="660" w:type="dxa"/>
          </w:tcPr>
          <w:p w14:paraId="69981C6C" w14:textId="77777777" w:rsidR="003D07CA" w:rsidRPr="00637580" w:rsidRDefault="003D07CA" w:rsidP="003E1F68">
            <w:pPr>
              <w:spacing w:before="40" w:after="40"/>
              <w:jc w:val="center"/>
              <w:rPr>
                <w:rFonts w:ascii="Arial" w:hAnsi="Arial" w:cs="Arial"/>
                <w:sz w:val="18"/>
                <w:szCs w:val="18"/>
              </w:rPr>
            </w:pPr>
          </w:p>
        </w:tc>
        <w:tc>
          <w:tcPr>
            <w:tcW w:w="660" w:type="dxa"/>
          </w:tcPr>
          <w:p w14:paraId="69981C6D" w14:textId="77777777" w:rsidR="003D07CA" w:rsidRPr="00637580" w:rsidRDefault="003D07CA" w:rsidP="003E1F68">
            <w:pPr>
              <w:spacing w:before="40" w:after="40"/>
              <w:jc w:val="center"/>
              <w:rPr>
                <w:rFonts w:ascii="Arial" w:hAnsi="Arial" w:cs="Arial"/>
                <w:sz w:val="18"/>
                <w:szCs w:val="18"/>
              </w:rPr>
            </w:pPr>
          </w:p>
        </w:tc>
      </w:tr>
      <w:tr w:rsidR="003D07CA" w:rsidRPr="00637580" w14:paraId="69981C73" w14:textId="77777777" w:rsidTr="003E1F68">
        <w:tc>
          <w:tcPr>
            <w:tcW w:w="7020" w:type="dxa"/>
          </w:tcPr>
          <w:p w14:paraId="69981C6F" w14:textId="77777777" w:rsidR="003D07CA" w:rsidRPr="00637580" w:rsidRDefault="003D07CA" w:rsidP="00525B7F">
            <w:pPr>
              <w:pStyle w:val="ChecklistBullet1"/>
              <w:numPr>
                <w:ilvl w:val="0"/>
                <w:numId w:val="129"/>
              </w:numPr>
              <w:tabs>
                <w:tab w:val="clear" w:pos="3600"/>
              </w:tabs>
              <w:ind w:left="882"/>
              <w:rPr>
                <w:rFonts w:ascii="Arial" w:hAnsi="Arial" w:cs="Arial"/>
                <w:b/>
                <w:bCs/>
                <w:color w:val="000000"/>
                <w:sz w:val="18"/>
                <w:szCs w:val="18"/>
              </w:rPr>
            </w:pPr>
            <w:r w:rsidRPr="00637580">
              <w:rPr>
                <w:rFonts w:ascii="Arial" w:hAnsi="Arial" w:cs="Arial"/>
                <w:sz w:val="18"/>
                <w:szCs w:val="18"/>
              </w:rPr>
              <w:t xml:space="preserve">Overdraft </w:t>
            </w:r>
            <w:r w:rsidR="00203E33">
              <w:rPr>
                <w:rFonts w:ascii="Arial" w:hAnsi="Arial" w:cs="Arial"/>
                <w:sz w:val="18"/>
                <w:szCs w:val="18"/>
              </w:rPr>
              <w:t>s</w:t>
            </w:r>
            <w:r w:rsidRPr="00637580">
              <w:rPr>
                <w:rFonts w:ascii="Arial" w:hAnsi="Arial" w:cs="Arial"/>
                <w:sz w:val="18"/>
                <w:szCs w:val="18"/>
              </w:rPr>
              <w:t>ervice</w:t>
            </w:r>
            <w:r w:rsidR="00203E33">
              <w:rPr>
                <w:rFonts w:ascii="Arial" w:hAnsi="Arial" w:cs="Arial"/>
                <w:sz w:val="18"/>
                <w:szCs w:val="18"/>
              </w:rPr>
              <w:t xml:space="preserve">: </w:t>
            </w:r>
            <w:r w:rsidRPr="00637580">
              <w:rPr>
                <w:rFonts w:ascii="Arial" w:hAnsi="Arial" w:cs="Arial"/>
                <w:sz w:val="18"/>
                <w:szCs w:val="18"/>
              </w:rPr>
              <w:t xml:space="preserve">Does the notice provide a brief description of the overdraft service and the types of transactions for which a fee or charge </w:t>
            </w:r>
            <w:r w:rsidR="00231EFA">
              <w:rPr>
                <w:rFonts w:ascii="Arial" w:hAnsi="Arial" w:cs="Arial"/>
                <w:sz w:val="18"/>
                <w:szCs w:val="18"/>
              </w:rPr>
              <w:t>for</w:t>
            </w:r>
            <w:r w:rsidRPr="00637580">
              <w:rPr>
                <w:rFonts w:ascii="Arial" w:hAnsi="Arial" w:cs="Arial"/>
                <w:sz w:val="18"/>
                <w:szCs w:val="18"/>
              </w:rPr>
              <w:t xml:space="preserve"> paying an overdraft may be imposed, including ATM and one-time debit card transactions? (12 CFR 1005.17(d)(1))</w:t>
            </w:r>
          </w:p>
        </w:tc>
        <w:tc>
          <w:tcPr>
            <w:tcW w:w="660" w:type="dxa"/>
          </w:tcPr>
          <w:p w14:paraId="69981C70" w14:textId="77777777" w:rsidR="003D07CA" w:rsidRPr="00637580" w:rsidRDefault="003D07CA" w:rsidP="003E1F68">
            <w:pPr>
              <w:spacing w:before="40" w:after="40"/>
              <w:jc w:val="center"/>
              <w:rPr>
                <w:rFonts w:ascii="Arial" w:hAnsi="Arial" w:cs="Arial"/>
                <w:sz w:val="18"/>
                <w:szCs w:val="18"/>
              </w:rPr>
            </w:pPr>
          </w:p>
        </w:tc>
        <w:tc>
          <w:tcPr>
            <w:tcW w:w="660" w:type="dxa"/>
          </w:tcPr>
          <w:p w14:paraId="69981C71" w14:textId="77777777" w:rsidR="003D07CA" w:rsidRPr="00637580" w:rsidRDefault="003D07CA" w:rsidP="003E1F68">
            <w:pPr>
              <w:spacing w:before="40" w:after="40"/>
              <w:jc w:val="center"/>
              <w:rPr>
                <w:rFonts w:ascii="Arial" w:hAnsi="Arial" w:cs="Arial"/>
                <w:sz w:val="18"/>
                <w:szCs w:val="18"/>
              </w:rPr>
            </w:pPr>
          </w:p>
        </w:tc>
        <w:tc>
          <w:tcPr>
            <w:tcW w:w="660" w:type="dxa"/>
          </w:tcPr>
          <w:p w14:paraId="69981C72" w14:textId="77777777" w:rsidR="003D07CA" w:rsidRPr="00637580" w:rsidRDefault="003D07CA" w:rsidP="003E1F68">
            <w:pPr>
              <w:spacing w:before="40" w:after="40"/>
              <w:jc w:val="center"/>
              <w:rPr>
                <w:rFonts w:ascii="Arial" w:hAnsi="Arial" w:cs="Arial"/>
                <w:sz w:val="18"/>
                <w:szCs w:val="18"/>
              </w:rPr>
            </w:pPr>
          </w:p>
        </w:tc>
      </w:tr>
      <w:tr w:rsidR="003D07CA" w:rsidRPr="00637580" w14:paraId="69981C7A" w14:textId="77777777" w:rsidTr="003E1F68">
        <w:tc>
          <w:tcPr>
            <w:tcW w:w="7020" w:type="dxa"/>
          </w:tcPr>
          <w:p w14:paraId="69981C74" w14:textId="77777777" w:rsidR="003D07CA" w:rsidRPr="00637580" w:rsidRDefault="00C42DF8" w:rsidP="00525B7F">
            <w:pPr>
              <w:pStyle w:val="ChecklistBullet1"/>
              <w:numPr>
                <w:ilvl w:val="0"/>
                <w:numId w:val="129"/>
              </w:numPr>
              <w:tabs>
                <w:tab w:val="clear" w:pos="3600"/>
              </w:tabs>
              <w:ind w:left="882"/>
              <w:rPr>
                <w:rFonts w:ascii="Arial" w:hAnsi="Arial" w:cs="Arial"/>
                <w:sz w:val="18"/>
                <w:szCs w:val="18"/>
              </w:rPr>
            </w:pPr>
            <w:r>
              <w:rPr>
                <w:rFonts w:ascii="Arial" w:hAnsi="Arial" w:cs="Arial"/>
                <w:sz w:val="18"/>
                <w:szCs w:val="18"/>
              </w:rPr>
              <w:t xml:space="preserve">Fees </w:t>
            </w:r>
            <w:r w:rsidR="00203E33">
              <w:rPr>
                <w:rFonts w:ascii="Arial" w:hAnsi="Arial" w:cs="Arial"/>
                <w:sz w:val="18"/>
                <w:szCs w:val="18"/>
              </w:rPr>
              <w:t>i</w:t>
            </w:r>
            <w:r w:rsidR="003D07CA" w:rsidRPr="00637580">
              <w:rPr>
                <w:rFonts w:ascii="Arial" w:hAnsi="Arial" w:cs="Arial"/>
                <w:sz w:val="18"/>
                <w:szCs w:val="18"/>
              </w:rPr>
              <w:t>mposed</w:t>
            </w:r>
            <w:r w:rsidR="00203E33">
              <w:rPr>
                <w:rFonts w:ascii="Arial" w:hAnsi="Arial" w:cs="Arial"/>
                <w:sz w:val="18"/>
                <w:szCs w:val="18"/>
              </w:rPr>
              <w:t xml:space="preserve">: </w:t>
            </w:r>
            <w:r w:rsidR="003D07CA" w:rsidRPr="00637580">
              <w:rPr>
                <w:rFonts w:ascii="Arial" w:hAnsi="Arial" w:cs="Arial"/>
                <w:sz w:val="18"/>
                <w:szCs w:val="18"/>
              </w:rPr>
              <w:t>Does the notice contain the dollar amount of any fees or charges assessed by the financial institution for paying an ATM or one-time debit card transaction pursuant to the financial institution’s overdraft service, including any daily or other overdraft fees?</w:t>
            </w:r>
          </w:p>
          <w:p w14:paraId="69981C75" w14:textId="77777777" w:rsidR="003D07CA" w:rsidRPr="00637580" w:rsidRDefault="003D07CA" w:rsidP="003E1F68">
            <w:pPr>
              <w:pStyle w:val="Checklist1a"/>
              <w:numPr>
                <w:ilvl w:val="0"/>
                <w:numId w:val="0"/>
              </w:numPr>
              <w:spacing w:before="40" w:after="40"/>
              <w:ind w:left="882"/>
              <w:jc w:val="left"/>
              <w:rPr>
                <w:rFonts w:ascii="Arial" w:hAnsi="Arial" w:cs="Arial"/>
                <w:sz w:val="18"/>
                <w:szCs w:val="18"/>
              </w:rPr>
            </w:pPr>
          </w:p>
          <w:p w14:paraId="69981C76" w14:textId="77777777" w:rsidR="003D07CA" w:rsidRPr="00637580" w:rsidRDefault="003D07CA" w:rsidP="003E1F68">
            <w:pPr>
              <w:pStyle w:val="Checklist1a"/>
              <w:numPr>
                <w:ilvl w:val="0"/>
                <w:numId w:val="0"/>
              </w:numPr>
              <w:tabs>
                <w:tab w:val="num" w:pos="882"/>
              </w:tabs>
              <w:spacing w:before="40" w:after="40"/>
              <w:ind w:left="882"/>
              <w:jc w:val="left"/>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If the amount of the fee is determined on the basis of the number of times the consumer has overdrawn the account, the amount of the overdraft, or other factors, the institution must disclose the maximum fee that may be imposed. (12 CFR 1005.17(d)(2)) </w:t>
            </w:r>
          </w:p>
        </w:tc>
        <w:tc>
          <w:tcPr>
            <w:tcW w:w="660" w:type="dxa"/>
          </w:tcPr>
          <w:p w14:paraId="69981C77" w14:textId="77777777" w:rsidR="003D07CA" w:rsidRPr="00637580" w:rsidRDefault="003D07CA" w:rsidP="003E1F68">
            <w:pPr>
              <w:spacing w:before="40" w:after="40"/>
              <w:jc w:val="center"/>
              <w:rPr>
                <w:rFonts w:ascii="Arial" w:hAnsi="Arial" w:cs="Arial"/>
                <w:sz w:val="18"/>
                <w:szCs w:val="18"/>
              </w:rPr>
            </w:pPr>
          </w:p>
        </w:tc>
        <w:tc>
          <w:tcPr>
            <w:tcW w:w="660" w:type="dxa"/>
          </w:tcPr>
          <w:p w14:paraId="69981C78" w14:textId="77777777" w:rsidR="003D07CA" w:rsidRPr="00637580" w:rsidRDefault="003D07CA" w:rsidP="003E1F68">
            <w:pPr>
              <w:spacing w:before="40" w:after="40"/>
              <w:jc w:val="center"/>
              <w:rPr>
                <w:rFonts w:ascii="Arial" w:hAnsi="Arial" w:cs="Arial"/>
                <w:sz w:val="18"/>
                <w:szCs w:val="18"/>
              </w:rPr>
            </w:pPr>
          </w:p>
        </w:tc>
        <w:tc>
          <w:tcPr>
            <w:tcW w:w="660" w:type="dxa"/>
          </w:tcPr>
          <w:p w14:paraId="69981C79" w14:textId="77777777" w:rsidR="003D07CA" w:rsidRPr="00637580" w:rsidRDefault="003D07CA" w:rsidP="003E1F68">
            <w:pPr>
              <w:spacing w:before="40" w:after="40"/>
              <w:jc w:val="center"/>
              <w:rPr>
                <w:rFonts w:ascii="Arial" w:hAnsi="Arial" w:cs="Arial"/>
                <w:sz w:val="18"/>
                <w:szCs w:val="18"/>
              </w:rPr>
            </w:pPr>
          </w:p>
        </w:tc>
      </w:tr>
      <w:tr w:rsidR="003D07CA" w:rsidRPr="00637580" w14:paraId="69981C7F" w14:textId="77777777" w:rsidTr="003E1F68">
        <w:tc>
          <w:tcPr>
            <w:tcW w:w="7020" w:type="dxa"/>
          </w:tcPr>
          <w:p w14:paraId="69981C7B" w14:textId="77777777" w:rsidR="003D07CA" w:rsidRPr="00637580" w:rsidRDefault="003D07CA" w:rsidP="00525B7F">
            <w:pPr>
              <w:pStyle w:val="Checklist1a"/>
              <w:numPr>
                <w:ilvl w:val="2"/>
                <w:numId w:val="102"/>
              </w:numPr>
              <w:tabs>
                <w:tab w:val="clear" w:pos="1440"/>
              </w:tabs>
              <w:spacing w:before="40" w:after="40"/>
              <w:ind w:left="882"/>
              <w:jc w:val="left"/>
              <w:rPr>
                <w:rFonts w:ascii="Arial" w:hAnsi="Arial" w:cs="Arial"/>
                <w:b/>
                <w:bCs/>
                <w:color w:val="000000"/>
                <w:sz w:val="18"/>
                <w:szCs w:val="18"/>
              </w:rPr>
            </w:pPr>
            <w:r w:rsidRPr="00637580">
              <w:rPr>
                <w:rFonts w:ascii="Arial" w:hAnsi="Arial" w:cs="Arial"/>
                <w:sz w:val="18"/>
                <w:szCs w:val="18"/>
              </w:rPr>
              <w:t xml:space="preserve">Limits on </w:t>
            </w:r>
            <w:r w:rsidR="00203E33" w:rsidRPr="00637580">
              <w:rPr>
                <w:rFonts w:ascii="Arial" w:hAnsi="Arial" w:cs="Arial"/>
                <w:sz w:val="18"/>
                <w:szCs w:val="18"/>
              </w:rPr>
              <w:t>fees charged</w:t>
            </w:r>
            <w:r w:rsidR="00203E33">
              <w:rPr>
                <w:rFonts w:ascii="Arial" w:hAnsi="Arial" w:cs="Arial"/>
                <w:sz w:val="18"/>
                <w:szCs w:val="18"/>
              </w:rPr>
              <w:t>:</w:t>
            </w:r>
            <w:r w:rsidRPr="00637580">
              <w:rPr>
                <w:rFonts w:ascii="Arial" w:hAnsi="Arial" w:cs="Arial"/>
                <w:sz w:val="18"/>
                <w:szCs w:val="18"/>
              </w:rPr>
              <w:t xml:space="preserve"> Does the notice disclose the maximum number of overdraft fees or charges that may be assessed per day, or, if applicable, that there is no limit? (12 CFR 1005.17(d)(3))</w:t>
            </w:r>
          </w:p>
        </w:tc>
        <w:tc>
          <w:tcPr>
            <w:tcW w:w="660" w:type="dxa"/>
          </w:tcPr>
          <w:p w14:paraId="69981C7C" w14:textId="77777777" w:rsidR="003D07CA" w:rsidRPr="00637580" w:rsidRDefault="003D07CA" w:rsidP="003E1F68">
            <w:pPr>
              <w:spacing w:before="40" w:after="40"/>
              <w:jc w:val="center"/>
              <w:rPr>
                <w:rFonts w:ascii="Arial" w:hAnsi="Arial" w:cs="Arial"/>
                <w:sz w:val="18"/>
                <w:szCs w:val="18"/>
              </w:rPr>
            </w:pPr>
          </w:p>
        </w:tc>
        <w:tc>
          <w:tcPr>
            <w:tcW w:w="660" w:type="dxa"/>
          </w:tcPr>
          <w:p w14:paraId="69981C7D" w14:textId="77777777" w:rsidR="003D07CA" w:rsidRPr="00637580" w:rsidRDefault="003D07CA" w:rsidP="003E1F68">
            <w:pPr>
              <w:spacing w:before="40" w:after="40"/>
              <w:jc w:val="center"/>
              <w:rPr>
                <w:rFonts w:ascii="Arial" w:hAnsi="Arial" w:cs="Arial"/>
                <w:sz w:val="18"/>
                <w:szCs w:val="18"/>
              </w:rPr>
            </w:pPr>
          </w:p>
        </w:tc>
        <w:tc>
          <w:tcPr>
            <w:tcW w:w="660" w:type="dxa"/>
          </w:tcPr>
          <w:p w14:paraId="69981C7E" w14:textId="77777777" w:rsidR="003D07CA" w:rsidRPr="00637580" w:rsidRDefault="003D07CA" w:rsidP="003E1F68">
            <w:pPr>
              <w:spacing w:before="40" w:after="40"/>
              <w:jc w:val="center"/>
              <w:rPr>
                <w:rFonts w:ascii="Arial" w:hAnsi="Arial" w:cs="Arial"/>
                <w:sz w:val="18"/>
                <w:szCs w:val="18"/>
              </w:rPr>
            </w:pPr>
          </w:p>
        </w:tc>
      </w:tr>
    </w:tbl>
    <w:p w14:paraId="69981C80" w14:textId="77777777" w:rsidR="003D07CA" w:rsidRPr="005C153B" w:rsidRDefault="003D07CA" w:rsidP="003D07CA">
      <w:pPr>
        <w:rPr>
          <w:rFonts w:ascii="Arial" w:hAnsi="Arial" w:cs="Arial"/>
          <w:sz w:val="18"/>
          <w:szCs w:val="18"/>
        </w:rPr>
      </w:pPr>
      <w:r w:rsidRPr="005C153B">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C85" w14:textId="77777777" w:rsidTr="003E1F68">
        <w:tc>
          <w:tcPr>
            <w:tcW w:w="7020" w:type="dxa"/>
          </w:tcPr>
          <w:p w14:paraId="69981C81"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tcPr>
          <w:p w14:paraId="69981C82"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tcPr>
          <w:p w14:paraId="69981C83"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60" w:type="dxa"/>
          </w:tcPr>
          <w:p w14:paraId="69981C84"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C8A" w14:textId="77777777" w:rsidTr="003E1F68">
        <w:tc>
          <w:tcPr>
            <w:tcW w:w="7020" w:type="dxa"/>
          </w:tcPr>
          <w:p w14:paraId="69981C86" w14:textId="77777777" w:rsidR="003D07CA" w:rsidRPr="00637580" w:rsidRDefault="00C42DF8" w:rsidP="00525B7F">
            <w:pPr>
              <w:pStyle w:val="Checklist1a"/>
              <w:numPr>
                <w:ilvl w:val="2"/>
                <w:numId w:val="102"/>
              </w:numPr>
              <w:tabs>
                <w:tab w:val="clear" w:pos="1440"/>
              </w:tabs>
              <w:spacing w:before="40" w:after="40"/>
              <w:ind w:left="882"/>
              <w:jc w:val="left"/>
              <w:rPr>
                <w:rFonts w:ascii="Arial" w:hAnsi="Arial" w:cs="Arial"/>
                <w:sz w:val="18"/>
                <w:szCs w:val="18"/>
              </w:rPr>
            </w:pPr>
            <w:r>
              <w:rPr>
                <w:rFonts w:ascii="Arial" w:hAnsi="Arial" w:cs="Arial"/>
                <w:sz w:val="18"/>
                <w:szCs w:val="18"/>
              </w:rPr>
              <w:t xml:space="preserve">Disclosure </w:t>
            </w:r>
            <w:r w:rsidR="00203E33">
              <w:rPr>
                <w:rFonts w:ascii="Arial" w:hAnsi="Arial" w:cs="Arial"/>
                <w:sz w:val="18"/>
                <w:szCs w:val="18"/>
              </w:rPr>
              <w:t>of opt-in r</w:t>
            </w:r>
            <w:r w:rsidR="00203E33" w:rsidRPr="00637580">
              <w:rPr>
                <w:rFonts w:ascii="Arial" w:hAnsi="Arial" w:cs="Arial"/>
                <w:sz w:val="18"/>
                <w:szCs w:val="18"/>
              </w:rPr>
              <w:t>ight</w:t>
            </w:r>
            <w:r w:rsidR="00203E33">
              <w:rPr>
                <w:rFonts w:ascii="Arial" w:hAnsi="Arial" w:cs="Arial"/>
                <w:sz w:val="18"/>
                <w:szCs w:val="18"/>
              </w:rPr>
              <w:t xml:space="preserve">: </w:t>
            </w:r>
            <w:r w:rsidR="003D07CA" w:rsidRPr="00637580">
              <w:rPr>
                <w:rFonts w:ascii="Arial" w:hAnsi="Arial" w:cs="Arial"/>
                <w:sz w:val="18"/>
                <w:szCs w:val="18"/>
              </w:rPr>
              <w:t xml:space="preserve">Does the notice explain the consumer’s right to affirmatively consent to the financial institution’s payment of overdrafts for ATM and one-time debit card transactions pursuant to the institution’s overdraft service, including the methods by which the consumer may consent to the service? (12 CFR 1005.17(d)(4)) </w:t>
            </w:r>
          </w:p>
        </w:tc>
        <w:tc>
          <w:tcPr>
            <w:tcW w:w="660" w:type="dxa"/>
          </w:tcPr>
          <w:p w14:paraId="69981C87" w14:textId="77777777" w:rsidR="003D07CA" w:rsidRPr="00637580" w:rsidRDefault="003D07CA" w:rsidP="003E1F68">
            <w:pPr>
              <w:spacing w:before="40" w:after="40"/>
              <w:jc w:val="center"/>
              <w:rPr>
                <w:rFonts w:ascii="Arial" w:hAnsi="Arial" w:cs="Arial"/>
                <w:sz w:val="18"/>
                <w:szCs w:val="18"/>
              </w:rPr>
            </w:pPr>
          </w:p>
        </w:tc>
        <w:tc>
          <w:tcPr>
            <w:tcW w:w="660" w:type="dxa"/>
          </w:tcPr>
          <w:p w14:paraId="69981C88" w14:textId="77777777" w:rsidR="003D07CA" w:rsidRPr="00637580" w:rsidRDefault="003D07CA" w:rsidP="003E1F68">
            <w:pPr>
              <w:spacing w:before="40" w:after="40"/>
              <w:jc w:val="center"/>
              <w:rPr>
                <w:rFonts w:ascii="Arial" w:hAnsi="Arial" w:cs="Arial"/>
                <w:sz w:val="18"/>
                <w:szCs w:val="18"/>
              </w:rPr>
            </w:pPr>
          </w:p>
        </w:tc>
        <w:tc>
          <w:tcPr>
            <w:tcW w:w="660" w:type="dxa"/>
          </w:tcPr>
          <w:p w14:paraId="69981C89" w14:textId="77777777" w:rsidR="003D07CA" w:rsidRPr="00637580" w:rsidRDefault="003D07CA" w:rsidP="003E1F68">
            <w:pPr>
              <w:spacing w:before="40" w:after="40"/>
              <w:jc w:val="center"/>
              <w:rPr>
                <w:rFonts w:ascii="Arial" w:hAnsi="Arial" w:cs="Arial"/>
                <w:sz w:val="18"/>
                <w:szCs w:val="18"/>
              </w:rPr>
            </w:pPr>
          </w:p>
        </w:tc>
      </w:tr>
      <w:tr w:rsidR="003D07CA" w:rsidRPr="00637580" w14:paraId="69981C8F" w14:textId="77777777" w:rsidTr="003E1F68">
        <w:tc>
          <w:tcPr>
            <w:tcW w:w="7020" w:type="dxa"/>
          </w:tcPr>
          <w:p w14:paraId="69981C8B" w14:textId="77777777" w:rsidR="003D07CA" w:rsidRPr="00637580" w:rsidRDefault="003D07CA" w:rsidP="00525B7F">
            <w:pPr>
              <w:pStyle w:val="Checklist1a"/>
              <w:numPr>
                <w:ilvl w:val="2"/>
                <w:numId w:val="102"/>
              </w:numPr>
              <w:tabs>
                <w:tab w:val="clear" w:pos="1440"/>
              </w:tabs>
              <w:spacing w:before="40" w:after="40"/>
              <w:ind w:left="882"/>
              <w:jc w:val="left"/>
              <w:rPr>
                <w:rFonts w:ascii="Arial" w:hAnsi="Arial" w:cs="Arial"/>
                <w:b/>
                <w:bCs/>
                <w:color w:val="000000"/>
                <w:sz w:val="18"/>
                <w:szCs w:val="18"/>
              </w:rPr>
            </w:pPr>
            <w:r w:rsidRPr="00637580">
              <w:rPr>
                <w:rFonts w:ascii="Arial" w:hAnsi="Arial" w:cs="Arial"/>
                <w:sz w:val="18"/>
                <w:szCs w:val="18"/>
              </w:rPr>
              <w:t xml:space="preserve">Alternative </w:t>
            </w:r>
            <w:r w:rsidR="00203E33" w:rsidRPr="00637580">
              <w:rPr>
                <w:rFonts w:ascii="Arial" w:hAnsi="Arial" w:cs="Arial"/>
                <w:sz w:val="18"/>
                <w:szCs w:val="18"/>
              </w:rPr>
              <w:t>plans for covering overdrafts</w:t>
            </w:r>
            <w:r w:rsidR="00203E33">
              <w:rPr>
                <w:rFonts w:ascii="Arial" w:hAnsi="Arial" w:cs="Arial"/>
                <w:sz w:val="18"/>
                <w:szCs w:val="18"/>
              </w:rPr>
              <w:t xml:space="preserve">: </w:t>
            </w:r>
            <w:r w:rsidRPr="00637580">
              <w:rPr>
                <w:rFonts w:ascii="Arial" w:hAnsi="Arial" w:cs="Arial"/>
                <w:sz w:val="18"/>
                <w:szCs w:val="18"/>
              </w:rPr>
              <w:t>As applicable, does the institution</w:t>
            </w:r>
            <w:r>
              <w:rPr>
                <w:rFonts w:ascii="Arial" w:hAnsi="Arial" w:cs="Arial"/>
                <w:sz w:val="18"/>
                <w:szCs w:val="18"/>
              </w:rPr>
              <w:t>’</w:t>
            </w:r>
            <w:r w:rsidRPr="00637580">
              <w:rPr>
                <w:rFonts w:ascii="Arial" w:hAnsi="Arial" w:cs="Arial"/>
                <w:sz w:val="18"/>
                <w:szCs w:val="18"/>
              </w:rPr>
              <w:t>s opt-in notice appropriately address the alternative methods for covering overdrafts?</w:t>
            </w:r>
          </w:p>
        </w:tc>
        <w:tc>
          <w:tcPr>
            <w:tcW w:w="660" w:type="dxa"/>
          </w:tcPr>
          <w:p w14:paraId="69981C8C" w14:textId="77777777" w:rsidR="003D07CA" w:rsidRPr="00637580" w:rsidRDefault="003D07CA" w:rsidP="003E1F68">
            <w:pPr>
              <w:spacing w:before="40" w:after="40"/>
              <w:jc w:val="center"/>
              <w:rPr>
                <w:rFonts w:ascii="Arial" w:hAnsi="Arial" w:cs="Arial"/>
                <w:sz w:val="18"/>
                <w:szCs w:val="18"/>
              </w:rPr>
            </w:pPr>
          </w:p>
        </w:tc>
        <w:tc>
          <w:tcPr>
            <w:tcW w:w="660" w:type="dxa"/>
          </w:tcPr>
          <w:p w14:paraId="69981C8D" w14:textId="77777777" w:rsidR="003D07CA" w:rsidRPr="00637580" w:rsidRDefault="003D07CA" w:rsidP="003E1F68">
            <w:pPr>
              <w:spacing w:before="40" w:after="40"/>
              <w:jc w:val="center"/>
              <w:rPr>
                <w:rFonts w:ascii="Arial" w:hAnsi="Arial" w:cs="Arial"/>
                <w:sz w:val="18"/>
                <w:szCs w:val="18"/>
              </w:rPr>
            </w:pPr>
          </w:p>
        </w:tc>
        <w:tc>
          <w:tcPr>
            <w:tcW w:w="660" w:type="dxa"/>
          </w:tcPr>
          <w:p w14:paraId="69981C8E" w14:textId="77777777" w:rsidR="003D07CA" w:rsidRPr="00637580" w:rsidRDefault="003D07CA" w:rsidP="003E1F68">
            <w:pPr>
              <w:spacing w:before="40" w:after="40"/>
              <w:jc w:val="center"/>
              <w:rPr>
                <w:rFonts w:ascii="Arial" w:hAnsi="Arial" w:cs="Arial"/>
                <w:sz w:val="18"/>
                <w:szCs w:val="18"/>
              </w:rPr>
            </w:pPr>
          </w:p>
        </w:tc>
      </w:tr>
      <w:tr w:rsidR="003D07CA" w:rsidRPr="00637580" w14:paraId="69981C94" w14:textId="77777777" w:rsidTr="003E1F68">
        <w:tc>
          <w:tcPr>
            <w:tcW w:w="7020" w:type="dxa"/>
          </w:tcPr>
          <w:p w14:paraId="69981C90" w14:textId="77777777" w:rsidR="003D07CA" w:rsidRPr="00637580" w:rsidRDefault="003D07CA" w:rsidP="00525B7F">
            <w:pPr>
              <w:pStyle w:val="Checklist1a"/>
              <w:numPr>
                <w:ilvl w:val="1"/>
                <w:numId w:val="93"/>
              </w:numPr>
              <w:tabs>
                <w:tab w:val="clear" w:pos="720"/>
                <w:tab w:val="num" w:pos="1242"/>
              </w:tabs>
              <w:spacing w:before="40" w:after="40"/>
              <w:ind w:left="1242"/>
              <w:jc w:val="left"/>
              <w:rPr>
                <w:rFonts w:ascii="Arial" w:hAnsi="Arial" w:cs="Arial"/>
                <w:sz w:val="18"/>
                <w:szCs w:val="18"/>
              </w:rPr>
            </w:pPr>
            <w:r w:rsidRPr="00637580">
              <w:rPr>
                <w:rFonts w:ascii="Arial" w:hAnsi="Arial" w:cs="Arial"/>
                <w:sz w:val="18"/>
                <w:szCs w:val="18"/>
              </w:rPr>
              <w:t xml:space="preserve">If the institution offers both a line of credit subject to the </w:t>
            </w:r>
            <w:r w:rsidR="00231EFA">
              <w:rPr>
                <w:rFonts w:ascii="Arial" w:hAnsi="Arial" w:cs="Arial"/>
                <w:sz w:val="18"/>
                <w:szCs w:val="18"/>
              </w:rPr>
              <w:t>CFPB’s</w:t>
            </w:r>
            <w:r w:rsidR="00231EFA" w:rsidRPr="00637580">
              <w:rPr>
                <w:rFonts w:ascii="Arial" w:hAnsi="Arial" w:cs="Arial"/>
                <w:sz w:val="18"/>
                <w:szCs w:val="18"/>
              </w:rPr>
              <w:t xml:space="preserve"> </w:t>
            </w:r>
            <w:r w:rsidRPr="00637580">
              <w:rPr>
                <w:rFonts w:ascii="Arial" w:hAnsi="Arial" w:cs="Arial"/>
                <w:sz w:val="18"/>
                <w:szCs w:val="18"/>
              </w:rPr>
              <w:t xml:space="preserve">Regulation Z (12 CFR part </w:t>
            </w:r>
            <w:r w:rsidR="00231EFA">
              <w:rPr>
                <w:rFonts w:ascii="Arial" w:hAnsi="Arial" w:cs="Arial"/>
                <w:sz w:val="18"/>
                <w:szCs w:val="18"/>
              </w:rPr>
              <w:t>10</w:t>
            </w:r>
            <w:r w:rsidRPr="00637580">
              <w:rPr>
                <w:rFonts w:ascii="Arial" w:hAnsi="Arial" w:cs="Arial"/>
                <w:sz w:val="18"/>
                <w:szCs w:val="18"/>
              </w:rPr>
              <w:t>26) and a service that transfers funds from another account of the consumer held at the institution to cover overdrafts, does the notice state that both alternative plans are offered</w:t>
            </w:r>
            <w:r>
              <w:rPr>
                <w:rFonts w:ascii="Arial" w:hAnsi="Arial" w:cs="Arial"/>
                <w:sz w:val="18"/>
                <w:szCs w:val="18"/>
              </w:rPr>
              <w:t>?</w:t>
            </w:r>
            <w:r w:rsidR="00B34D22">
              <w:rPr>
                <w:rFonts w:ascii="Arial" w:hAnsi="Arial" w:cs="Arial"/>
                <w:sz w:val="18"/>
                <w:szCs w:val="18"/>
              </w:rPr>
              <w:t>(12 CFR 1005.17(d)(5</w:t>
            </w:r>
            <w:r w:rsidR="00B34D22" w:rsidRPr="00637580">
              <w:rPr>
                <w:rFonts w:ascii="Arial" w:hAnsi="Arial" w:cs="Arial"/>
                <w:sz w:val="18"/>
                <w:szCs w:val="18"/>
              </w:rPr>
              <w:t>))</w:t>
            </w:r>
          </w:p>
        </w:tc>
        <w:tc>
          <w:tcPr>
            <w:tcW w:w="660" w:type="dxa"/>
          </w:tcPr>
          <w:p w14:paraId="69981C91" w14:textId="77777777" w:rsidR="003D07CA" w:rsidRPr="00637580" w:rsidRDefault="003D07CA" w:rsidP="003E1F68">
            <w:pPr>
              <w:spacing w:before="40" w:after="40"/>
              <w:jc w:val="center"/>
              <w:rPr>
                <w:rFonts w:ascii="Arial" w:hAnsi="Arial" w:cs="Arial"/>
                <w:sz w:val="18"/>
                <w:szCs w:val="18"/>
              </w:rPr>
            </w:pPr>
          </w:p>
        </w:tc>
        <w:tc>
          <w:tcPr>
            <w:tcW w:w="660" w:type="dxa"/>
          </w:tcPr>
          <w:p w14:paraId="69981C92" w14:textId="77777777" w:rsidR="003D07CA" w:rsidRPr="00637580" w:rsidRDefault="003D07CA" w:rsidP="003E1F68">
            <w:pPr>
              <w:spacing w:before="40" w:after="40"/>
              <w:jc w:val="center"/>
              <w:rPr>
                <w:rFonts w:ascii="Arial" w:hAnsi="Arial" w:cs="Arial"/>
                <w:sz w:val="18"/>
                <w:szCs w:val="18"/>
              </w:rPr>
            </w:pPr>
          </w:p>
        </w:tc>
        <w:tc>
          <w:tcPr>
            <w:tcW w:w="660" w:type="dxa"/>
          </w:tcPr>
          <w:p w14:paraId="69981C93" w14:textId="77777777" w:rsidR="003D07CA" w:rsidRPr="00637580" w:rsidRDefault="003D07CA" w:rsidP="003E1F68">
            <w:pPr>
              <w:spacing w:before="40" w:after="40"/>
              <w:jc w:val="center"/>
              <w:rPr>
                <w:rFonts w:ascii="Arial" w:hAnsi="Arial" w:cs="Arial"/>
                <w:sz w:val="18"/>
                <w:szCs w:val="18"/>
              </w:rPr>
            </w:pPr>
          </w:p>
        </w:tc>
      </w:tr>
      <w:tr w:rsidR="003D07CA" w:rsidRPr="00637580" w14:paraId="69981C99" w14:textId="77777777" w:rsidTr="003E1F68">
        <w:tc>
          <w:tcPr>
            <w:tcW w:w="7020" w:type="dxa"/>
          </w:tcPr>
          <w:p w14:paraId="69981C95" w14:textId="77777777" w:rsidR="003D07CA" w:rsidRPr="00637580" w:rsidRDefault="003D07CA" w:rsidP="00525B7F">
            <w:pPr>
              <w:pStyle w:val="Checklist1a"/>
              <w:numPr>
                <w:ilvl w:val="1"/>
                <w:numId w:val="93"/>
              </w:numPr>
              <w:tabs>
                <w:tab w:val="clear" w:pos="720"/>
                <w:tab w:val="num" w:pos="1242"/>
              </w:tabs>
              <w:spacing w:before="40" w:after="40"/>
              <w:ind w:left="1242"/>
              <w:jc w:val="left"/>
              <w:rPr>
                <w:rFonts w:ascii="Arial" w:hAnsi="Arial" w:cs="Arial"/>
                <w:b/>
                <w:bCs/>
                <w:color w:val="000000"/>
                <w:sz w:val="18"/>
                <w:szCs w:val="18"/>
              </w:rPr>
            </w:pPr>
            <w:r w:rsidRPr="00637580">
              <w:rPr>
                <w:rFonts w:ascii="Arial" w:hAnsi="Arial" w:cs="Arial"/>
                <w:sz w:val="18"/>
                <w:szCs w:val="18"/>
              </w:rPr>
              <w:t>If the institution offers one but not the other, does the notice state which of the alternative plan it offers</w:t>
            </w:r>
            <w:r>
              <w:rPr>
                <w:rFonts w:ascii="Arial" w:hAnsi="Arial" w:cs="Arial"/>
                <w:sz w:val="18"/>
                <w:szCs w:val="18"/>
              </w:rPr>
              <w:t>?</w:t>
            </w:r>
            <w:r w:rsidRPr="00637580">
              <w:rPr>
                <w:rFonts w:ascii="Arial" w:hAnsi="Arial" w:cs="Arial"/>
                <w:sz w:val="18"/>
                <w:szCs w:val="18"/>
              </w:rPr>
              <w:t xml:space="preserve"> If the institution does not offer either a line of credit subject to the </w:t>
            </w:r>
            <w:r w:rsidR="00231EFA">
              <w:rPr>
                <w:rFonts w:ascii="Arial" w:hAnsi="Arial" w:cs="Arial"/>
                <w:sz w:val="18"/>
                <w:szCs w:val="18"/>
              </w:rPr>
              <w:t>CFPB’s</w:t>
            </w:r>
            <w:r w:rsidR="00231EFA" w:rsidRPr="00637580">
              <w:rPr>
                <w:rFonts w:ascii="Arial" w:hAnsi="Arial" w:cs="Arial"/>
                <w:sz w:val="18"/>
                <w:szCs w:val="18"/>
              </w:rPr>
              <w:t xml:space="preserve"> </w:t>
            </w:r>
            <w:r w:rsidRPr="00637580">
              <w:rPr>
                <w:rFonts w:ascii="Arial" w:hAnsi="Arial" w:cs="Arial"/>
                <w:sz w:val="18"/>
                <w:szCs w:val="18"/>
              </w:rPr>
              <w:t>Regulation Z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00231EFA">
              <w:rPr>
                <w:rFonts w:ascii="Arial" w:hAnsi="Arial" w:cs="Arial"/>
                <w:sz w:val="18"/>
                <w:szCs w:val="18"/>
              </w:rPr>
              <w:t>10</w:t>
            </w:r>
            <w:r w:rsidRPr="00637580">
              <w:rPr>
                <w:rFonts w:ascii="Arial" w:hAnsi="Arial" w:cs="Arial"/>
                <w:sz w:val="18"/>
                <w:szCs w:val="18"/>
              </w:rPr>
              <w:t xml:space="preserve">26) or a service that transfers funds from another account of the consumer held at the institution to cover overdrafts plan, does the notice exclude information regarding </w:t>
            </w:r>
            <w:r w:rsidR="00B34D22">
              <w:rPr>
                <w:rFonts w:ascii="Arial" w:hAnsi="Arial" w:cs="Arial"/>
                <w:sz w:val="18"/>
                <w:szCs w:val="18"/>
              </w:rPr>
              <w:t xml:space="preserve">both </w:t>
            </w:r>
            <w:r w:rsidRPr="00637580">
              <w:rPr>
                <w:rFonts w:ascii="Arial" w:hAnsi="Arial" w:cs="Arial"/>
                <w:sz w:val="18"/>
                <w:szCs w:val="18"/>
              </w:rPr>
              <w:t>of these plans</w:t>
            </w:r>
            <w:r>
              <w:rPr>
                <w:rFonts w:ascii="Arial" w:hAnsi="Arial" w:cs="Arial"/>
                <w:sz w:val="18"/>
                <w:szCs w:val="18"/>
              </w:rPr>
              <w:t>?</w:t>
            </w:r>
            <w:r w:rsidR="00B34D22">
              <w:rPr>
                <w:rFonts w:ascii="Arial" w:hAnsi="Arial" w:cs="Arial"/>
                <w:sz w:val="18"/>
                <w:szCs w:val="18"/>
              </w:rPr>
              <w:t xml:space="preserve"> (12 CFR 1005.17(d)(5</w:t>
            </w:r>
            <w:r w:rsidR="00B34D22" w:rsidRPr="00637580">
              <w:rPr>
                <w:rFonts w:ascii="Arial" w:hAnsi="Arial" w:cs="Arial"/>
                <w:sz w:val="18"/>
                <w:szCs w:val="18"/>
              </w:rPr>
              <w:t>))</w:t>
            </w:r>
            <w:r w:rsidRPr="00637580">
              <w:rPr>
                <w:rFonts w:ascii="Arial" w:hAnsi="Arial" w:cs="Arial"/>
                <w:sz w:val="18"/>
                <w:szCs w:val="18"/>
              </w:rPr>
              <w:t xml:space="preserve"> </w:t>
            </w:r>
          </w:p>
        </w:tc>
        <w:tc>
          <w:tcPr>
            <w:tcW w:w="660" w:type="dxa"/>
          </w:tcPr>
          <w:p w14:paraId="69981C96" w14:textId="77777777" w:rsidR="003D07CA" w:rsidRPr="00637580" w:rsidRDefault="003D07CA" w:rsidP="003E1F68">
            <w:pPr>
              <w:spacing w:before="40" w:after="40"/>
              <w:jc w:val="center"/>
              <w:rPr>
                <w:rFonts w:ascii="Arial" w:hAnsi="Arial" w:cs="Arial"/>
                <w:sz w:val="18"/>
                <w:szCs w:val="18"/>
              </w:rPr>
            </w:pPr>
          </w:p>
        </w:tc>
        <w:tc>
          <w:tcPr>
            <w:tcW w:w="660" w:type="dxa"/>
          </w:tcPr>
          <w:p w14:paraId="69981C97" w14:textId="77777777" w:rsidR="003D07CA" w:rsidRPr="00637580" w:rsidRDefault="003D07CA" w:rsidP="003E1F68">
            <w:pPr>
              <w:spacing w:before="40" w:after="40"/>
              <w:jc w:val="center"/>
              <w:rPr>
                <w:rFonts w:ascii="Arial" w:hAnsi="Arial" w:cs="Arial"/>
                <w:sz w:val="18"/>
                <w:szCs w:val="18"/>
              </w:rPr>
            </w:pPr>
          </w:p>
        </w:tc>
        <w:tc>
          <w:tcPr>
            <w:tcW w:w="660" w:type="dxa"/>
          </w:tcPr>
          <w:p w14:paraId="69981C98" w14:textId="77777777" w:rsidR="003D07CA" w:rsidRPr="00637580" w:rsidRDefault="003D07CA" w:rsidP="003E1F68">
            <w:pPr>
              <w:spacing w:before="40" w:after="40"/>
              <w:jc w:val="center"/>
              <w:rPr>
                <w:rFonts w:ascii="Arial" w:hAnsi="Arial" w:cs="Arial"/>
                <w:sz w:val="18"/>
                <w:szCs w:val="18"/>
              </w:rPr>
            </w:pPr>
          </w:p>
        </w:tc>
      </w:tr>
      <w:tr w:rsidR="003D07CA" w:rsidRPr="00637580" w14:paraId="69981C9E" w14:textId="77777777" w:rsidTr="003E1F68">
        <w:tc>
          <w:tcPr>
            <w:tcW w:w="7020" w:type="dxa"/>
          </w:tcPr>
          <w:p w14:paraId="69981C9A" w14:textId="77777777" w:rsidR="003D07CA" w:rsidRPr="00637580" w:rsidRDefault="003D07CA" w:rsidP="00525B7F">
            <w:pPr>
              <w:pStyle w:val="Checklist1a"/>
              <w:numPr>
                <w:ilvl w:val="1"/>
                <w:numId w:val="93"/>
              </w:numPr>
              <w:tabs>
                <w:tab w:val="clear" w:pos="720"/>
                <w:tab w:val="num" w:pos="1242"/>
              </w:tabs>
              <w:spacing w:before="40" w:after="40"/>
              <w:ind w:left="1242"/>
              <w:jc w:val="left"/>
              <w:rPr>
                <w:rFonts w:ascii="Arial" w:hAnsi="Arial" w:cs="Arial"/>
                <w:sz w:val="18"/>
                <w:szCs w:val="18"/>
              </w:rPr>
            </w:pPr>
            <w:r w:rsidRPr="00637580">
              <w:rPr>
                <w:rFonts w:ascii="Arial" w:hAnsi="Arial" w:cs="Arial"/>
                <w:sz w:val="18"/>
                <w:szCs w:val="18"/>
              </w:rPr>
              <w:t>If the financial institution offers additional alternatives for paying overdrafts, at its option the institution may (but is not required to) disclose those alternatives. Does its notice describe those alternatives?</w:t>
            </w:r>
            <w:r w:rsidR="00B34D22">
              <w:rPr>
                <w:rFonts w:ascii="Arial" w:hAnsi="Arial" w:cs="Arial"/>
                <w:sz w:val="18"/>
                <w:szCs w:val="18"/>
              </w:rPr>
              <w:t xml:space="preserve"> (12 CFR 1005.17(d)(5</w:t>
            </w:r>
            <w:r w:rsidR="00B34D22" w:rsidRPr="00637580">
              <w:rPr>
                <w:rFonts w:ascii="Arial" w:hAnsi="Arial" w:cs="Arial"/>
                <w:sz w:val="18"/>
                <w:szCs w:val="18"/>
              </w:rPr>
              <w:t>))</w:t>
            </w:r>
          </w:p>
        </w:tc>
        <w:tc>
          <w:tcPr>
            <w:tcW w:w="660" w:type="dxa"/>
          </w:tcPr>
          <w:p w14:paraId="69981C9B" w14:textId="77777777" w:rsidR="003D07CA" w:rsidRPr="00637580" w:rsidRDefault="003D07CA" w:rsidP="003E1F68">
            <w:pPr>
              <w:spacing w:before="40" w:after="40"/>
              <w:jc w:val="center"/>
              <w:rPr>
                <w:rFonts w:ascii="Arial" w:hAnsi="Arial" w:cs="Arial"/>
                <w:sz w:val="18"/>
                <w:szCs w:val="18"/>
              </w:rPr>
            </w:pPr>
          </w:p>
        </w:tc>
        <w:tc>
          <w:tcPr>
            <w:tcW w:w="660" w:type="dxa"/>
          </w:tcPr>
          <w:p w14:paraId="69981C9C" w14:textId="77777777" w:rsidR="003D07CA" w:rsidRPr="00637580" w:rsidRDefault="003D07CA" w:rsidP="003E1F68">
            <w:pPr>
              <w:spacing w:before="40" w:after="40"/>
              <w:jc w:val="center"/>
              <w:rPr>
                <w:rFonts w:ascii="Arial" w:hAnsi="Arial" w:cs="Arial"/>
                <w:sz w:val="18"/>
                <w:szCs w:val="18"/>
              </w:rPr>
            </w:pPr>
          </w:p>
        </w:tc>
        <w:tc>
          <w:tcPr>
            <w:tcW w:w="660" w:type="dxa"/>
          </w:tcPr>
          <w:p w14:paraId="69981C9D" w14:textId="77777777" w:rsidR="003D07CA" w:rsidRPr="00637580" w:rsidRDefault="003D07CA" w:rsidP="003E1F68">
            <w:pPr>
              <w:spacing w:before="40" w:after="40"/>
              <w:jc w:val="center"/>
              <w:rPr>
                <w:rFonts w:ascii="Arial" w:hAnsi="Arial" w:cs="Arial"/>
                <w:sz w:val="18"/>
                <w:szCs w:val="18"/>
              </w:rPr>
            </w:pPr>
          </w:p>
        </w:tc>
      </w:tr>
      <w:tr w:rsidR="003D07CA" w:rsidRPr="00637580" w14:paraId="69981CA5" w14:textId="77777777" w:rsidTr="003E1F68">
        <w:tc>
          <w:tcPr>
            <w:tcW w:w="7020" w:type="dxa"/>
          </w:tcPr>
          <w:p w14:paraId="69981C9F" w14:textId="77777777" w:rsidR="003D07CA" w:rsidRPr="009C10F2" w:rsidRDefault="003D07CA" w:rsidP="00525B7F">
            <w:pPr>
              <w:pStyle w:val="Checklist1a"/>
              <w:numPr>
                <w:ilvl w:val="2"/>
                <w:numId w:val="130"/>
              </w:numPr>
              <w:tabs>
                <w:tab w:val="clear" w:pos="1440"/>
              </w:tabs>
              <w:spacing w:before="40" w:after="40"/>
              <w:ind w:left="1242"/>
              <w:jc w:val="left"/>
              <w:rPr>
                <w:rFonts w:ascii="Arial" w:hAnsi="Arial" w:cs="Arial"/>
                <w:b/>
                <w:bCs/>
                <w:color w:val="000000"/>
                <w:sz w:val="18"/>
                <w:szCs w:val="18"/>
              </w:rPr>
            </w:pPr>
            <w:r w:rsidRPr="009C10F2">
              <w:rPr>
                <w:rFonts w:ascii="Arial" w:hAnsi="Arial" w:cs="Arial"/>
                <w:sz w:val="18"/>
                <w:szCs w:val="18"/>
              </w:rPr>
              <w:t xml:space="preserve">Permitted </w:t>
            </w:r>
            <w:r w:rsidR="00203E33" w:rsidRPr="009C10F2">
              <w:rPr>
                <w:rFonts w:ascii="Arial" w:hAnsi="Arial" w:cs="Arial"/>
                <w:sz w:val="18"/>
                <w:szCs w:val="18"/>
              </w:rPr>
              <w:t>modifications and additional content:</w:t>
            </w:r>
            <w:r w:rsidRPr="009C10F2">
              <w:rPr>
                <w:rFonts w:ascii="Arial" w:hAnsi="Arial" w:cs="Arial"/>
                <w:sz w:val="18"/>
                <w:szCs w:val="18"/>
              </w:rPr>
              <w:t xml:space="preserve"> If the institution modifies the notice, are the modifications permitted to indicate that the consumer has the right to opt in</w:t>
            </w:r>
            <w:r w:rsidR="009C10F2" w:rsidRPr="009C10F2">
              <w:rPr>
                <w:rFonts w:ascii="Arial" w:hAnsi="Arial" w:cs="Arial"/>
                <w:sz w:val="18"/>
                <w:szCs w:val="18"/>
              </w:rPr>
              <w:t xml:space="preserve">to, </w:t>
            </w:r>
            <w:r w:rsidRPr="009C10F2">
              <w:rPr>
                <w:rFonts w:ascii="Arial" w:hAnsi="Arial" w:cs="Arial"/>
                <w:sz w:val="18"/>
                <w:szCs w:val="18"/>
              </w:rPr>
              <w:t>or out of</w:t>
            </w:r>
            <w:r w:rsidR="009C10F2" w:rsidRPr="009C10F2">
              <w:rPr>
                <w:rFonts w:ascii="Arial" w:hAnsi="Arial" w:cs="Arial"/>
                <w:sz w:val="18"/>
                <w:szCs w:val="18"/>
              </w:rPr>
              <w:t>,</w:t>
            </w:r>
            <w:r w:rsidRPr="009C10F2">
              <w:rPr>
                <w:rFonts w:ascii="Arial" w:hAnsi="Arial" w:cs="Arial"/>
                <w:sz w:val="18"/>
                <w:szCs w:val="18"/>
              </w:rPr>
              <w:t xml:space="preserve"> the payment of overdrafts under the institution’s overdraft service for other types of transactions, such as checks, ACH transactions, or automatic bill payments; </w:t>
            </w:r>
            <w:r w:rsidR="009C10F2" w:rsidRPr="009C10F2">
              <w:rPr>
                <w:rFonts w:ascii="Arial" w:hAnsi="Arial" w:cs="Arial"/>
                <w:sz w:val="18"/>
                <w:szCs w:val="18"/>
              </w:rPr>
              <w:t>t</w:t>
            </w:r>
            <w:r w:rsidRPr="009C10F2">
              <w:rPr>
                <w:rFonts w:ascii="Arial" w:hAnsi="Arial" w:cs="Arial"/>
                <w:sz w:val="18"/>
                <w:szCs w:val="18"/>
              </w:rPr>
              <w:t>o provide a means for the consumer to exercise this choice; and</w:t>
            </w:r>
            <w:r w:rsidR="009C10F2" w:rsidRPr="009C10F2">
              <w:rPr>
                <w:rFonts w:ascii="Arial" w:hAnsi="Arial" w:cs="Arial"/>
                <w:sz w:val="18"/>
                <w:szCs w:val="18"/>
              </w:rPr>
              <w:t xml:space="preserve"> </w:t>
            </w:r>
            <w:r w:rsidRPr="009C10F2">
              <w:rPr>
                <w:rFonts w:ascii="Arial" w:hAnsi="Arial" w:cs="Arial"/>
                <w:sz w:val="18"/>
                <w:szCs w:val="18"/>
              </w:rPr>
              <w:t>to disclose the associated returned item fee and that additional merchant fees may apply?</w:t>
            </w:r>
          </w:p>
          <w:p w14:paraId="69981CA0" w14:textId="77777777" w:rsidR="003D07CA" w:rsidRDefault="003D07CA" w:rsidP="00C0379C">
            <w:pPr>
              <w:pStyle w:val="Checklist1a"/>
              <w:numPr>
                <w:ilvl w:val="0"/>
                <w:numId w:val="0"/>
              </w:numPr>
              <w:spacing w:before="40" w:after="40"/>
              <w:ind w:left="882"/>
              <w:jc w:val="left"/>
              <w:rPr>
                <w:rFonts w:ascii="Arial" w:hAnsi="Arial" w:cs="Arial"/>
                <w:sz w:val="18"/>
                <w:szCs w:val="18"/>
              </w:rPr>
            </w:pPr>
          </w:p>
          <w:p w14:paraId="69981CA1" w14:textId="77777777" w:rsidR="003D07CA" w:rsidRPr="00637580" w:rsidRDefault="004E3478" w:rsidP="00C0379C">
            <w:pPr>
              <w:pStyle w:val="Checklist1a"/>
              <w:numPr>
                <w:ilvl w:val="0"/>
                <w:numId w:val="0"/>
              </w:numPr>
              <w:spacing w:before="40" w:after="40"/>
              <w:ind w:left="882"/>
              <w:jc w:val="left"/>
              <w:rPr>
                <w:rFonts w:ascii="Arial" w:hAnsi="Arial" w:cs="Arial"/>
                <w:sz w:val="18"/>
                <w:szCs w:val="18"/>
              </w:rPr>
            </w:pPr>
            <w:r w:rsidRPr="004E3478">
              <w:rPr>
                <w:rFonts w:ascii="Arial" w:hAnsi="Arial" w:cs="Arial"/>
                <w:b/>
                <w:sz w:val="18"/>
                <w:szCs w:val="18"/>
              </w:rPr>
              <w:t>Note</w:t>
            </w:r>
            <w:r>
              <w:rPr>
                <w:rFonts w:ascii="Arial" w:hAnsi="Arial" w:cs="Arial"/>
                <w:sz w:val="18"/>
                <w:szCs w:val="18"/>
              </w:rPr>
              <w:t xml:space="preserve">: </w:t>
            </w:r>
            <w:r w:rsidR="003D07CA" w:rsidRPr="00637580">
              <w:rPr>
                <w:rFonts w:ascii="Arial" w:hAnsi="Arial" w:cs="Arial"/>
                <w:sz w:val="18"/>
                <w:szCs w:val="18"/>
              </w:rPr>
              <w:t>The institution may also disclose the consumer’s right to revoke consent. The response portion of Model Form A-9 may be tailored to the methods offered for opting in and may include reasonable methods to identify the account, such as a bar code. For notices provided to consumers who have opened accounts prior to July 1, 2010, the financial institution may describe the institution’s overdraft service with respect to ATM and one-time debit card transactions with a statement such as “After August 15, 2010, we will not authorize and pay overdrafts for the following types of transactions unless you ask us to (see below)</w:t>
            </w:r>
            <w:r w:rsidR="003D07CA">
              <w:rPr>
                <w:rFonts w:ascii="Arial" w:hAnsi="Arial" w:cs="Arial"/>
                <w:sz w:val="18"/>
                <w:szCs w:val="18"/>
              </w:rPr>
              <w:t>.</w:t>
            </w:r>
            <w:r w:rsidR="003D07CA" w:rsidRPr="00637580">
              <w:rPr>
                <w:rFonts w:ascii="Arial" w:hAnsi="Arial" w:cs="Arial"/>
                <w:sz w:val="18"/>
                <w:szCs w:val="18"/>
              </w:rPr>
              <w:t>” (12 CFR 1005.17(d)(6) and staff commentary 1005.17(d)</w:t>
            </w:r>
            <w:r w:rsidR="003D07CA">
              <w:rPr>
                <w:rFonts w:ascii="Arial" w:hAnsi="Arial" w:cs="Arial"/>
                <w:sz w:val="18"/>
                <w:szCs w:val="18"/>
              </w:rPr>
              <w:t>–</w:t>
            </w:r>
            <w:r w:rsidR="003D07CA" w:rsidRPr="00637580">
              <w:rPr>
                <w:rFonts w:ascii="Arial" w:hAnsi="Arial" w:cs="Arial"/>
                <w:sz w:val="18"/>
                <w:szCs w:val="18"/>
              </w:rPr>
              <w:t xml:space="preserve">1 through </w:t>
            </w:r>
            <w:r w:rsidR="003D07CA">
              <w:rPr>
                <w:rFonts w:ascii="Arial" w:hAnsi="Arial" w:cs="Arial"/>
                <w:sz w:val="18"/>
                <w:szCs w:val="18"/>
              </w:rPr>
              <w:t>–</w:t>
            </w:r>
            <w:r w:rsidR="003D07CA" w:rsidRPr="00637580">
              <w:rPr>
                <w:rFonts w:ascii="Arial" w:hAnsi="Arial" w:cs="Arial"/>
                <w:sz w:val="18"/>
                <w:szCs w:val="18"/>
              </w:rPr>
              <w:t>5))</w:t>
            </w:r>
          </w:p>
        </w:tc>
        <w:tc>
          <w:tcPr>
            <w:tcW w:w="660" w:type="dxa"/>
          </w:tcPr>
          <w:p w14:paraId="69981CA2" w14:textId="77777777" w:rsidR="003D07CA" w:rsidRPr="00637580" w:rsidRDefault="003D07CA" w:rsidP="003E1F68">
            <w:pPr>
              <w:spacing w:before="40" w:after="40"/>
              <w:jc w:val="center"/>
              <w:rPr>
                <w:rFonts w:ascii="Arial" w:hAnsi="Arial" w:cs="Arial"/>
                <w:sz w:val="18"/>
                <w:szCs w:val="18"/>
              </w:rPr>
            </w:pPr>
          </w:p>
        </w:tc>
        <w:tc>
          <w:tcPr>
            <w:tcW w:w="660" w:type="dxa"/>
          </w:tcPr>
          <w:p w14:paraId="69981CA3" w14:textId="77777777" w:rsidR="003D07CA" w:rsidRPr="00637580" w:rsidRDefault="003D07CA" w:rsidP="003E1F68">
            <w:pPr>
              <w:spacing w:before="40" w:after="40"/>
              <w:jc w:val="center"/>
              <w:rPr>
                <w:rFonts w:ascii="Arial" w:hAnsi="Arial" w:cs="Arial"/>
                <w:sz w:val="18"/>
                <w:szCs w:val="18"/>
              </w:rPr>
            </w:pPr>
          </w:p>
        </w:tc>
        <w:tc>
          <w:tcPr>
            <w:tcW w:w="660" w:type="dxa"/>
          </w:tcPr>
          <w:p w14:paraId="69981CA4" w14:textId="77777777" w:rsidR="003D07CA" w:rsidRPr="00637580" w:rsidRDefault="003D07CA" w:rsidP="003E1F68">
            <w:pPr>
              <w:spacing w:before="40" w:after="40"/>
              <w:jc w:val="center"/>
              <w:rPr>
                <w:rFonts w:ascii="Arial" w:hAnsi="Arial" w:cs="Arial"/>
                <w:sz w:val="18"/>
                <w:szCs w:val="18"/>
              </w:rPr>
            </w:pPr>
          </w:p>
        </w:tc>
      </w:tr>
      <w:tr w:rsidR="003D07CA" w:rsidRPr="00637580" w14:paraId="69981CAA" w14:textId="77777777" w:rsidTr="003E1F68">
        <w:tc>
          <w:tcPr>
            <w:tcW w:w="7020" w:type="dxa"/>
          </w:tcPr>
          <w:p w14:paraId="69981CA6" w14:textId="77777777" w:rsidR="003D07CA" w:rsidRPr="00637580" w:rsidRDefault="003D07CA" w:rsidP="00525B7F">
            <w:pPr>
              <w:pStyle w:val="Checklist1"/>
              <w:numPr>
                <w:ilvl w:val="0"/>
                <w:numId w:val="94"/>
              </w:numPr>
              <w:spacing w:before="40" w:after="40"/>
              <w:ind w:left="522" w:hanging="522"/>
              <w:rPr>
                <w:rFonts w:ascii="Arial" w:hAnsi="Arial" w:cs="Arial"/>
                <w:b/>
                <w:bCs/>
                <w:color w:val="000000"/>
                <w:sz w:val="18"/>
                <w:szCs w:val="18"/>
              </w:rPr>
            </w:pPr>
            <w:r w:rsidRPr="00637580">
              <w:rPr>
                <w:rFonts w:ascii="Arial" w:hAnsi="Arial" w:cs="Arial"/>
                <w:sz w:val="18"/>
                <w:szCs w:val="18"/>
              </w:rPr>
              <w:t xml:space="preserve">Joint </w:t>
            </w:r>
            <w:r>
              <w:rPr>
                <w:rFonts w:ascii="Arial" w:hAnsi="Arial" w:cs="Arial"/>
                <w:sz w:val="18"/>
                <w:szCs w:val="18"/>
              </w:rPr>
              <w:t>a</w:t>
            </w:r>
            <w:r w:rsidRPr="00637580">
              <w:rPr>
                <w:rFonts w:ascii="Arial" w:hAnsi="Arial" w:cs="Arial"/>
                <w:sz w:val="18"/>
                <w:szCs w:val="18"/>
              </w:rPr>
              <w:t>ccounts</w:t>
            </w:r>
            <w:r>
              <w:rPr>
                <w:rFonts w:ascii="Arial" w:hAnsi="Arial" w:cs="Arial"/>
                <w:sz w:val="18"/>
                <w:szCs w:val="18"/>
              </w:rPr>
              <w:t>:</w:t>
            </w:r>
            <w:r w:rsidRPr="00637580">
              <w:rPr>
                <w:rFonts w:ascii="Arial" w:hAnsi="Arial" w:cs="Arial"/>
                <w:sz w:val="18"/>
                <w:szCs w:val="18"/>
              </w:rPr>
              <w:t xml:space="preserve"> When two or more consumers jointly hold an account, does the financial institution treat the affirmative consent of any of the joint consumers as affirmative consent for that account and treat the revocation of affirmative consent by any of the joint consumers as revocation of consent for that account? (12 CFR 1005.17(e)) </w:t>
            </w:r>
          </w:p>
        </w:tc>
        <w:tc>
          <w:tcPr>
            <w:tcW w:w="660" w:type="dxa"/>
          </w:tcPr>
          <w:p w14:paraId="69981CA7" w14:textId="77777777" w:rsidR="003D07CA" w:rsidRPr="00637580" w:rsidRDefault="003D07CA" w:rsidP="003E1F68">
            <w:pPr>
              <w:spacing w:before="40" w:after="40"/>
              <w:jc w:val="center"/>
              <w:rPr>
                <w:rFonts w:ascii="Arial" w:hAnsi="Arial" w:cs="Arial"/>
                <w:sz w:val="18"/>
                <w:szCs w:val="18"/>
              </w:rPr>
            </w:pPr>
          </w:p>
        </w:tc>
        <w:tc>
          <w:tcPr>
            <w:tcW w:w="660" w:type="dxa"/>
          </w:tcPr>
          <w:p w14:paraId="69981CA8" w14:textId="77777777" w:rsidR="003D07CA" w:rsidRPr="00637580" w:rsidRDefault="003D07CA" w:rsidP="003E1F68">
            <w:pPr>
              <w:spacing w:before="40" w:after="40"/>
              <w:jc w:val="center"/>
              <w:rPr>
                <w:rFonts w:ascii="Arial" w:hAnsi="Arial" w:cs="Arial"/>
                <w:sz w:val="18"/>
                <w:szCs w:val="18"/>
              </w:rPr>
            </w:pPr>
          </w:p>
        </w:tc>
        <w:tc>
          <w:tcPr>
            <w:tcW w:w="660" w:type="dxa"/>
          </w:tcPr>
          <w:p w14:paraId="69981CA9" w14:textId="77777777" w:rsidR="003D07CA" w:rsidRPr="00637580" w:rsidRDefault="003D07CA" w:rsidP="003E1F68">
            <w:pPr>
              <w:spacing w:before="40" w:after="40"/>
              <w:jc w:val="center"/>
              <w:rPr>
                <w:rFonts w:ascii="Arial" w:hAnsi="Arial" w:cs="Arial"/>
                <w:sz w:val="18"/>
                <w:szCs w:val="18"/>
              </w:rPr>
            </w:pPr>
          </w:p>
        </w:tc>
      </w:tr>
      <w:tr w:rsidR="003D07CA" w:rsidRPr="00637580" w14:paraId="69981CAF" w14:textId="77777777" w:rsidTr="003E1F68">
        <w:tc>
          <w:tcPr>
            <w:tcW w:w="7020" w:type="dxa"/>
          </w:tcPr>
          <w:p w14:paraId="69981CAB" w14:textId="77777777" w:rsidR="003D07CA" w:rsidRPr="00637580" w:rsidRDefault="003D07CA" w:rsidP="00525B7F">
            <w:pPr>
              <w:pStyle w:val="Checklist1"/>
              <w:numPr>
                <w:ilvl w:val="0"/>
                <w:numId w:val="94"/>
              </w:numPr>
              <w:spacing w:before="40" w:after="40"/>
              <w:ind w:left="522" w:hanging="522"/>
              <w:rPr>
                <w:rFonts w:ascii="Arial" w:hAnsi="Arial" w:cs="Arial"/>
                <w:b/>
                <w:bCs/>
                <w:color w:val="000000"/>
                <w:sz w:val="18"/>
                <w:szCs w:val="18"/>
              </w:rPr>
            </w:pPr>
            <w:r w:rsidRPr="00637580">
              <w:rPr>
                <w:rFonts w:ascii="Arial" w:hAnsi="Arial" w:cs="Arial"/>
                <w:sz w:val="18"/>
                <w:szCs w:val="18"/>
              </w:rPr>
              <w:t xml:space="preserve">Continuing </w:t>
            </w:r>
            <w:r>
              <w:rPr>
                <w:rFonts w:ascii="Arial" w:hAnsi="Arial" w:cs="Arial"/>
                <w:sz w:val="18"/>
                <w:szCs w:val="18"/>
              </w:rPr>
              <w:t>r</w:t>
            </w:r>
            <w:r w:rsidRPr="00637580">
              <w:rPr>
                <w:rFonts w:ascii="Arial" w:hAnsi="Arial" w:cs="Arial"/>
                <w:sz w:val="18"/>
                <w:szCs w:val="18"/>
              </w:rPr>
              <w:t xml:space="preserve">ight to </w:t>
            </w:r>
            <w:r>
              <w:rPr>
                <w:rFonts w:ascii="Arial" w:hAnsi="Arial" w:cs="Arial"/>
                <w:sz w:val="18"/>
                <w:szCs w:val="18"/>
              </w:rPr>
              <w:t>o</w:t>
            </w:r>
            <w:r w:rsidRPr="00637580">
              <w:rPr>
                <w:rFonts w:ascii="Arial" w:hAnsi="Arial" w:cs="Arial"/>
                <w:sz w:val="18"/>
                <w:szCs w:val="18"/>
              </w:rPr>
              <w:t>pt</w:t>
            </w:r>
            <w:r>
              <w:rPr>
                <w:rFonts w:ascii="Arial" w:hAnsi="Arial" w:cs="Arial"/>
                <w:sz w:val="18"/>
                <w:szCs w:val="18"/>
              </w:rPr>
              <w:t xml:space="preserve"> i</w:t>
            </w:r>
            <w:r w:rsidRPr="00637580">
              <w:rPr>
                <w:rFonts w:ascii="Arial" w:hAnsi="Arial" w:cs="Arial"/>
                <w:sz w:val="18"/>
                <w:szCs w:val="18"/>
              </w:rPr>
              <w:t xml:space="preserve">n or to </w:t>
            </w:r>
            <w:r>
              <w:rPr>
                <w:rFonts w:ascii="Arial" w:hAnsi="Arial" w:cs="Arial"/>
                <w:sz w:val="18"/>
                <w:szCs w:val="18"/>
              </w:rPr>
              <w:t>r</w:t>
            </w:r>
            <w:r w:rsidRPr="00637580">
              <w:rPr>
                <w:rFonts w:ascii="Arial" w:hAnsi="Arial" w:cs="Arial"/>
                <w:sz w:val="18"/>
                <w:szCs w:val="18"/>
              </w:rPr>
              <w:t xml:space="preserve">evoke </w:t>
            </w:r>
            <w:r>
              <w:rPr>
                <w:rFonts w:ascii="Arial" w:hAnsi="Arial" w:cs="Arial"/>
                <w:sz w:val="18"/>
                <w:szCs w:val="18"/>
              </w:rPr>
              <w:t>o</w:t>
            </w:r>
            <w:r w:rsidR="00F02D8F">
              <w:rPr>
                <w:rFonts w:ascii="Arial" w:hAnsi="Arial" w:cs="Arial"/>
                <w:sz w:val="18"/>
                <w:szCs w:val="18"/>
              </w:rPr>
              <w:t xml:space="preserve">pt </w:t>
            </w:r>
            <w:r>
              <w:rPr>
                <w:rFonts w:ascii="Arial" w:hAnsi="Arial" w:cs="Arial"/>
                <w:sz w:val="18"/>
                <w:szCs w:val="18"/>
              </w:rPr>
              <w:t>i</w:t>
            </w:r>
            <w:r w:rsidRPr="00637580">
              <w:rPr>
                <w:rFonts w:ascii="Arial" w:hAnsi="Arial" w:cs="Arial"/>
                <w:sz w:val="18"/>
                <w:szCs w:val="18"/>
              </w:rPr>
              <w:t>n: Does the financial institution allow the consumer to affirmatively consent to the financial institution’s overdraft service at any time in the manner described in the notice required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007135E4">
              <w:rPr>
                <w:rFonts w:ascii="Arial" w:hAnsi="Arial" w:cs="Arial"/>
                <w:sz w:val="18"/>
                <w:szCs w:val="18"/>
              </w:rPr>
              <w:t>1005.17(b</w:t>
            </w:r>
            <w:proofErr w:type="gramStart"/>
            <w:r w:rsidR="007135E4">
              <w:rPr>
                <w:rFonts w:ascii="Arial" w:hAnsi="Arial" w:cs="Arial"/>
                <w:sz w:val="18"/>
                <w:szCs w:val="18"/>
              </w:rPr>
              <w:t>)(</w:t>
            </w:r>
            <w:proofErr w:type="gramEnd"/>
            <w:r w:rsidR="007135E4">
              <w:rPr>
                <w:rFonts w:ascii="Arial" w:hAnsi="Arial" w:cs="Arial"/>
                <w:sz w:val="18"/>
                <w:szCs w:val="18"/>
              </w:rPr>
              <w:t>1)</w:t>
            </w:r>
            <w:r w:rsidRPr="00637580">
              <w:rPr>
                <w:rFonts w:ascii="Arial" w:hAnsi="Arial" w:cs="Arial"/>
                <w:sz w:val="18"/>
                <w:szCs w:val="18"/>
              </w:rPr>
              <w:t>(i)) and allow a consumer to revoke consent at any time in the manner made available to the consumer for providing consent (12</w:t>
            </w:r>
            <w:r>
              <w:rPr>
                <w:rFonts w:ascii="Arial" w:hAnsi="Arial" w:cs="Arial"/>
                <w:sz w:val="18"/>
                <w:szCs w:val="18"/>
              </w:rPr>
              <w:t> </w:t>
            </w:r>
            <w:r w:rsidRPr="00637580">
              <w:rPr>
                <w:rFonts w:ascii="Arial" w:hAnsi="Arial" w:cs="Arial"/>
                <w:sz w:val="18"/>
                <w:szCs w:val="18"/>
              </w:rPr>
              <w:t xml:space="preserve">CFR 1005.17(f))? </w:t>
            </w:r>
          </w:p>
        </w:tc>
        <w:tc>
          <w:tcPr>
            <w:tcW w:w="660" w:type="dxa"/>
          </w:tcPr>
          <w:p w14:paraId="69981CAC" w14:textId="77777777" w:rsidR="003D07CA" w:rsidRPr="00637580" w:rsidRDefault="003D07CA" w:rsidP="003E1F68">
            <w:pPr>
              <w:spacing w:before="40" w:after="40"/>
              <w:jc w:val="center"/>
              <w:rPr>
                <w:rFonts w:ascii="Arial" w:hAnsi="Arial" w:cs="Arial"/>
                <w:sz w:val="18"/>
                <w:szCs w:val="18"/>
              </w:rPr>
            </w:pPr>
          </w:p>
        </w:tc>
        <w:tc>
          <w:tcPr>
            <w:tcW w:w="660" w:type="dxa"/>
          </w:tcPr>
          <w:p w14:paraId="69981CAD" w14:textId="77777777" w:rsidR="003D07CA" w:rsidRPr="00637580" w:rsidRDefault="003D07CA" w:rsidP="003E1F68">
            <w:pPr>
              <w:spacing w:before="40" w:after="40"/>
              <w:jc w:val="center"/>
              <w:rPr>
                <w:rFonts w:ascii="Arial" w:hAnsi="Arial" w:cs="Arial"/>
                <w:sz w:val="18"/>
                <w:szCs w:val="18"/>
              </w:rPr>
            </w:pPr>
          </w:p>
        </w:tc>
        <w:tc>
          <w:tcPr>
            <w:tcW w:w="660" w:type="dxa"/>
          </w:tcPr>
          <w:p w14:paraId="69981CAE" w14:textId="77777777" w:rsidR="003D07CA" w:rsidRPr="00637580" w:rsidRDefault="003D07CA" w:rsidP="003E1F68">
            <w:pPr>
              <w:spacing w:before="40" w:after="40"/>
              <w:jc w:val="center"/>
              <w:rPr>
                <w:rFonts w:ascii="Arial" w:hAnsi="Arial" w:cs="Arial"/>
                <w:sz w:val="18"/>
                <w:szCs w:val="18"/>
              </w:rPr>
            </w:pPr>
          </w:p>
        </w:tc>
      </w:tr>
    </w:tbl>
    <w:p w14:paraId="69981CB0" w14:textId="77777777" w:rsidR="003D07CA" w:rsidRDefault="003D07CA" w:rsidP="003D07CA">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CB5" w14:textId="77777777" w:rsidTr="003E1F68">
        <w:tc>
          <w:tcPr>
            <w:tcW w:w="7020" w:type="dxa"/>
            <w:tcBorders>
              <w:bottom w:val="single" w:sz="4" w:space="0" w:color="auto"/>
            </w:tcBorders>
          </w:tcPr>
          <w:p w14:paraId="69981CB1"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tcBorders>
              <w:bottom w:val="single" w:sz="4" w:space="0" w:color="auto"/>
            </w:tcBorders>
          </w:tcPr>
          <w:p w14:paraId="69981CB2"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tcBorders>
              <w:bottom w:val="single" w:sz="4" w:space="0" w:color="auto"/>
            </w:tcBorders>
          </w:tcPr>
          <w:p w14:paraId="69981CB3"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60" w:type="dxa"/>
            <w:tcBorders>
              <w:bottom w:val="single" w:sz="4" w:space="0" w:color="auto"/>
            </w:tcBorders>
          </w:tcPr>
          <w:p w14:paraId="69981CB4"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CBA" w14:textId="77777777" w:rsidTr="003E1F68">
        <w:tc>
          <w:tcPr>
            <w:tcW w:w="7020" w:type="dxa"/>
          </w:tcPr>
          <w:p w14:paraId="69981CB6" w14:textId="77777777" w:rsidR="003D07CA" w:rsidRPr="00637580" w:rsidRDefault="003D07CA" w:rsidP="00525B7F">
            <w:pPr>
              <w:pStyle w:val="Checklist1"/>
              <w:numPr>
                <w:ilvl w:val="0"/>
                <w:numId w:val="94"/>
              </w:numPr>
              <w:spacing w:before="40" w:after="40"/>
              <w:ind w:left="522" w:hanging="522"/>
              <w:rPr>
                <w:rFonts w:ascii="Arial" w:hAnsi="Arial" w:cs="Arial"/>
                <w:sz w:val="18"/>
                <w:szCs w:val="18"/>
              </w:rPr>
            </w:pPr>
            <w:r w:rsidRPr="00637580">
              <w:rPr>
                <w:rFonts w:ascii="Arial" w:hAnsi="Arial" w:cs="Arial"/>
                <w:sz w:val="18"/>
                <w:szCs w:val="18"/>
              </w:rPr>
              <w:t xml:space="preserve">Does the financial institution implement a consumer’s revocation of consent as soon as reasonably practicable? (12 CFR 1005.17(f)) </w:t>
            </w:r>
          </w:p>
        </w:tc>
        <w:tc>
          <w:tcPr>
            <w:tcW w:w="660" w:type="dxa"/>
          </w:tcPr>
          <w:p w14:paraId="69981CB7" w14:textId="77777777" w:rsidR="003D07CA" w:rsidRPr="00637580" w:rsidRDefault="003D07CA" w:rsidP="003E1F68">
            <w:pPr>
              <w:spacing w:before="40" w:after="40"/>
              <w:jc w:val="center"/>
              <w:rPr>
                <w:rFonts w:ascii="Arial" w:hAnsi="Arial" w:cs="Arial"/>
                <w:sz w:val="18"/>
                <w:szCs w:val="18"/>
              </w:rPr>
            </w:pPr>
          </w:p>
        </w:tc>
        <w:tc>
          <w:tcPr>
            <w:tcW w:w="660" w:type="dxa"/>
          </w:tcPr>
          <w:p w14:paraId="69981CB8" w14:textId="77777777" w:rsidR="003D07CA" w:rsidRPr="00637580" w:rsidRDefault="003D07CA" w:rsidP="003E1F68">
            <w:pPr>
              <w:spacing w:before="40" w:after="40"/>
              <w:jc w:val="center"/>
              <w:rPr>
                <w:rFonts w:ascii="Arial" w:hAnsi="Arial" w:cs="Arial"/>
                <w:sz w:val="18"/>
                <w:szCs w:val="18"/>
              </w:rPr>
            </w:pPr>
          </w:p>
        </w:tc>
        <w:tc>
          <w:tcPr>
            <w:tcW w:w="660" w:type="dxa"/>
          </w:tcPr>
          <w:p w14:paraId="69981CB9" w14:textId="77777777" w:rsidR="003D07CA" w:rsidRPr="00637580" w:rsidRDefault="003D07CA" w:rsidP="003E1F68">
            <w:pPr>
              <w:spacing w:before="40" w:after="40"/>
              <w:jc w:val="center"/>
              <w:rPr>
                <w:rFonts w:ascii="Arial" w:hAnsi="Arial" w:cs="Arial"/>
                <w:sz w:val="18"/>
                <w:szCs w:val="18"/>
              </w:rPr>
            </w:pPr>
          </w:p>
        </w:tc>
      </w:tr>
      <w:tr w:rsidR="003D07CA" w:rsidRPr="00637580" w14:paraId="69981CBF" w14:textId="77777777" w:rsidTr="003E1F68">
        <w:tc>
          <w:tcPr>
            <w:tcW w:w="7020" w:type="dxa"/>
            <w:tcBorders>
              <w:bottom w:val="single" w:sz="4" w:space="0" w:color="auto"/>
            </w:tcBorders>
          </w:tcPr>
          <w:p w14:paraId="69981CBB" w14:textId="77777777" w:rsidR="003D07CA" w:rsidRPr="00637580" w:rsidRDefault="003D07CA" w:rsidP="00525B7F">
            <w:pPr>
              <w:pStyle w:val="Checklist1"/>
              <w:numPr>
                <w:ilvl w:val="0"/>
                <w:numId w:val="94"/>
              </w:numPr>
              <w:spacing w:before="40" w:after="40"/>
              <w:ind w:left="522" w:hanging="522"/>
              <w:rPr>
                <w:rFonts w:ascii="Arial" w:hAnsi="Arial" w:cs="Arial"/>
                <w:sz w:val="18"/>
                <w:szCs w:val="18"/>
              </w:rPr>
            </w:pPr>
            <w:r w:rsidRPr="00637580">
              <w:rPr>
                <w:rFonts w:ascii="Arial" w:hAnsi="Arial" w:cs="Arial"/>
                <w:sz w:val="18"/>
                <w:szCs w:val="18"/>
              </w:rPr>
              <w:t xml:space="preserve">Is the consumer’s affirmative consent to the overdraft service effective until revoked by the consumer or unless the financial institution terminates the service? (12 CFR 1005.17(g)) </w:t>
            </w:r>
          </w:p>
        </w:tc>
        <w:tc>
          <w:tcPr>
            <w:tcW w:w="660" w:type="dxa"/>
            <w:tcBorders>
              <w:bottom w:val="single" w:sz="4" w:space="0" w:color="auto"/>
            </w:tcBorders>
          </w:tcPr>
          <w:p w14:paraId="69981CBC"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CBD"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CBE" w14:textId="77777777" w:rsidR="003D07CA" w:rsidRPr="00637580" w:rsidRDefault="003D07CA" w:rsidP="003E1F68">
            <w:pPr>
              <w:spacing w:before="40" w:after="40"/>
              <w:jc w:val="center"/>
              <w:rPr>
                <w:rFonts w:ascii="Arial" w:hAnsi="Arial" w:cs="Arial"/>
                <w:sz w:val="18"/>
                <w:szCs w:val="18"/>
              </w:rPr>
            </w:pPr>
          </w:p>
        </w:tc>
      </w:tr>
      <w:tr w:rsidR="003D07CA" w:rsidRPr="00637580" w14:paraId="69981CC4" w14:textId="77777777" w:rsidTr="003E1F68">
        <w:tc>
          <w:tcPr>
            <w:tcW w:w="7020" w:type="dxa"/>
            <w:shd w:val="clear" w:color="auto" w:fill="D9D9D9" w:themeFill="background1" w:themeFillShade="D9"/>
            <w:vAlign w:val="center"/>
          </w:tcPr>
          <w:p w14:paraId="69981CC0" w14:textId="77777777" w:rsidR="003D07CA" w:rsidRPr="00637580" w:rsidRDefault="00155765" w:rsidP="003E1F68">
            <w:pPr>
              <w:spacing w:before="40" w:after="40"/>
              <w:rPr>
                <w:rFonts w:ascii="Arial" w:hAnsi="Arial" w:cs="Arial"/>
                <w:b/>
                <w:sz w:val="18"/>
                <w:szCs w:val="18"/>
              </w:rPr>
            </w:pPr>
            <w:r>
              <w:rPr>
                <w:rFonts w:ascii="Arial" w:hAnsi="Arial" w:cs="Arial"/>
                <w:b/>
                <w:sz w:val="18"/>
                <w:szCs w:val="18"/>
              </w:rPr>
              <w:t>12 CFR</w:t>
            </w:r>
            <w:r w:rsidR="003D07CA" w:rsidRPr="00637580">
              <w:rPr>
                <w:rFonts w:ascii="Arial" w:hAnsi="Arial" w:cs="Arial"/>
                <w:b/>
                <w:bCs/>
                <w:sz w:val="18"/>
                <w:szCs w:val="18"/>
              </w:rPr>
              <w:t xml:space="preserve"> 1005.18 – Payroll Card Accounts</w:t>
            </w:r>
          </w:p>
        </w:tc>
        <w:tc>
          <w:tcPr>
            <w:tcW w:w="660" w:type="dxa"/>
            <w:tcBorders>
              <w:bottom w:val="single" w:sz="4" w:space="0" w:color="auto"/>
            </w:tcBorders>
            <w:shd w:val="clear" w:color="auto" w:fill="D9D9D9" w:themeFill="background1" w:themeFillShade="D9"/>
          </w:tcPr>
          <w:p w14:paraId="69981CC1" w14:textId="77777777" w:rsidR="003D07CA" w:rsidRPr="00637580" w:rsidRDefault="003D07CA" w:rsidP="003E1F68">
            <w:pPr>
              <w:spacing w:before="40" w:after="40"/>
              <w:jc w:val="center"/>
              <w:rPr>
                <w:rFonts w:ascii="Arial" w:hAnsi="Arial" w:cs="Arial"/>
                <w:b/>
                <w:sz w:val="18"/>
                <w:szCs w:val="18"/>
              </w:rPr>
            </w:pPr>
          </w:p>
        </w:tc>
        <w:tc>
          <w:tcPr>
            <w:tcW w:w="660" w:type="dxa"/>
            <w:tcBorders>
              <w:bottom w:val="single" w:sz="4" w:space="0" w:color="auto"/>
            </w:tcBorders>
            <w:shd w:val="clear" w:color="auto" w:fill="D9D9D9" w:themeFill="background1" w:themeFillShade="D9"/>
          </w:tcPr>
          <w:p w14:paraId="69981CC2" w14:textId="77777777" w:rsidR="003D07CA" w:rsidRPr="00637580" w:rsidRDefault="003D07CA" w:rsidP="003E1F68">
            <w:pPr>
              <w:spacing w:before="40" w:after="40"/>
              <w:jc w:val="center"/>
              <w:rPr>
                <w:rFonts w:ascii="Arial" w:hAnsi="Arial" w:cs="Arial"/>
                <w:b/>
                <w:sz w:val="18"/>
                <w:szCs w:val="18"/>
              </w:rPr>
            </w:pPr>
          </w:p>
        </w:tc>
        <w:tc>
          <w:tcPr>
            <w:tcW w:w="660" w:type="dxa"/>
            <w:tcBorders>
              <w:bottom w:val="single" w:sz="4" w:space="0" w:color="auto"/>
            </w:tcBorders>
            <w:shd w:val="clear" w:color="auto" w:fill="D9D9D9" w:themeFill="background1" w:themeFillShade="D9"/>
          </w:tcPr>
          <w:p w14:paraId="69981CC3"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CC9" w14:textId="77777777" w:rsidTr="003E1F68">
        <w:tc>
          <w:tcPr>
            <w:tcW w:w="7020" w:type="dxa"/>
          </w:tcPr>
          <w:p w14:paraId="69981CC5" w14:textId="77777777" w:rsidR="003D07CA" w:rsidRPr="007C7C6F" w:rsidRDefault="003D07CA" w:rsidP="00525B7F">
            <w:pPr>
              <w:pStyle w:val="Checklist1"/>
              <w:numPr>
                <w:ilvl w:val="0"/>
                <w:numId w:val="94"/>
              </w:numPr>
              <w:spacing w:before="40" w:after="40"/>
              <w:ind w:left="522" w:hanging="540"/>
              <w:rPr>
                <w:rFonts w:ascii="Arial" w:hAnsi="Arial" w:cs="Arial"/>
                <w:sz w:val="18"/>
                <w:szCs w:val="18"/>
              </w:rPr>
            </w:pPr>
            <w:r w:rsidRPr="00637580">
              <w:rPr>
                <w:rFonts w:ascii="Arial" w:hAnsi="Arial" w:cs="Arial"/>
                <w:sz w:val="18"/>
                <w:szCs w:val="18"/>
              </w:rPr>
              <w:t>If the financial institution offers payroll card accounts, does the financial institution EITHER provide periodic statements as required by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1005.9(b) OR make available to the consumer</w:t>
            </w:r>
          </w:p>
        </w:tc>
        <w:tc>
          <w:tcPr>
            <w:tcW w:w="660" w:type="dxa"/>
            <w:shd w:val="clear" w:color="auto" w:fill="D9D9D9" w:themeFill="background1" w:themeFillShade="D9"/>
          </w:tcPr>
          <w:p w14:paraId="69981CC6" w14:textId="77777777" w:rsidR="003D07CA" w:rsidRPr="007C7C6F"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CC7"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CC8"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CCE" w14:textId="77777777" w:rsidTr="003E1F68">
        <w:tc>
          <w:tcPr>
            <w:tcW w:w="7020" w:type="dxa"/>
          </w:tcPr>
          <w:p w14:paraId="69981CCA" w14:textId="77777777" w:rsidR="003D07CA" w:rsidRPr="00637580" w:rsidRDefault="003D07CA" w:rsidP="00525B7F">
            <w:pPr>
              <w:pStyle w:val="Checklist1a"/>
              <w:numPr>
                <w:ilvl w:val="2"/>
                <w:numId w:val="103"/>
              </w:numPr>
              <w:tabs>
                <w:tab w:val="clear" w:pos="1440"/>
              </w:tabs>
              <w:spacing w:before="40" w:after="40"/>
              <w:ind w:left="882"/>
              <w:jc w:val="left"/>
              <w:rPr>
                <w:rFonts w:ascii="Arial" w:hAnsi="Arial" w:cs="Arial"/>
                <w:sz w:val="18"/>
                <w:szCs w:val="18"/>
              </w:rPr>
            </w:pPr>
            <w:r w:rsidRPr="00637580">
              <w:rPr>
                <w:rFonts w:ascii="Arial" w:hAnsi="Arial" w:cs="Arial"/>
                <w:sz w:val="18"/>
                <w:szCs w:val="18"/>
              </w:rPr>
              <w:t xml:space="preserve">the account balance through a readily available telephone line, </w:t>
            </w:r>
            <w:r w:rsidR="007D1955">
              <w:rPr>
                <w:rFonts w:ascii="Arial" w:hAnsi="Arial" w:cs="Arial"/>
                <w:sz w:val="18"/>
                <w:szCs w:val="18"/>
              </w:rPr>
              <w:t>and</w:t>
            </w:r>
          </w:p>
        </w:tc>
        <w:tc>
          <w:tcPr>
            <w:tcW w:w="660" w:type="dxa"/>
          </w:tcPr>
          <w:p w14:paraId="69981CCB" w14:textId="77777777" w:rsidR="003D07CA" w:rsidRPr="00637580" w:rsidRDefault="003D07CA" w:rsidP="003E1F68">
            <w:pPr>
              <w:spacing w:before="40" w:after="40"/>
              <w:jc w:val="center"/>
              <w:rPr>
                <w:rFonts w:ascii="Arial" w:hAnsi="Arial" w:cs="Arial"/>
                <w:sz w:val="18"/>
                <w:szCs w:val="18"/>
              </w:rPr>
            </w:pPr>
          </w:p>
        </w:tc>
        <w:tc>
          <w:tcPr>
            <w:tcW w:w="660" w:type="dxa"/>
          </w:tcPr>
          <w:p w14:paraId="69981CCC" w14:textId="77777777" w:rsidR="003D07CA" w:rsidRPr="00637580" w:rsidRDefault="003D07CA" w:rsidP="003E1F68">
            <w:pPr>
              <w:spacing w:before="40" w:after="40"/>
              <w:jc w:val="center"/>
              <w:rPr>
                <w:rFonts w:ascii="Arial" w:hAnsi="Arial" w:cs="Arial"/>
                <w:sz w:val="18"/>
                <w:szCs w:val="18"/>
              </w:rPr>
            </w:pPr>
          </w:p>
        </w:tc>
        <w:tc>
          <w:tcPr>
            <w:tcW w:w="660" w:type="dxa"/>
          </w:tcPr>
          <w:p w14:paraId="69981CCD" w14:textId="77777777" w:rsidR="003D07CA" w:rsidRPr="00637580" w:rsidRDefault="003D07CA" w:rsidP="003E1F68">
            <w:pPr>
              <w:spacing w:before="40" w:after="40"/>
              <w:jc w:val="center"/>
              <w:rPr>
                <w:rFonts w:ascii="Arial" w:hAnsi="Arial" w:cs="Arial"/>
                <w:sz w:val="18"/>
                <w:szCs w:val="18"/>
              </w:rPr>
            </w:pPr>
          </w:p>
        </w:tc>
      </w:tr>
      <w:tr w:rsidR="003D07CA" w:rsidRPr="00637580" w14:paraId="69981CD3" w14:textId="77777777" w:rsidTr="003E1F68">
        <w:tc>
          <w:tcPr>
            <w:tcW w:w="7020" w:type="dxa"/>
          </w:tcPr>
          <w:p w14:paraId="69981CCF" w14:textId="77777777" w:rsidR="003D07CA" w:rsidRPr="00637580" w:rsidRDefault="003D07CA" w:rsidP="00525B7F">
            <w:pPr>
              <w:pStyle w:val="Checklist1a"/>
              <w:numPr>
                <w:ilvl w:val="2"/>
                <w:numId w:val="103"/>
              </w:numPr>
              <w:tabs>
                <w:tab w:val="clear" w:pos="1440"/>
              </w:tabs>
              <w:spacing w:before="40" w:after="40"/>
              <w:ind w:left="882"/>
              <w:jc w:val="left"/>
              <w:rPr>
                <w:rFonts w:ascii="Arial" w:hAnsi="Arial" w:cs="Arial"/>
                <w:sz w:val="18"/>
                <w:szCs w:val="18"/>
              </w:rPr>
            </w:pPr>
            <w:r w:rsidRPr="00637580">
              <w:rPr>
                <w:rFonts w:ascii="Arial" w:hAnsi="Arial" w:cs="Arial"/>
                <w:sz w:val="18"/>
                <w:szCs w:val="18"/>
              </w:rPr>
              <w:t xml:space="preserve">an electronic history of the consumer’s account transactions, such as through a Web site, that covers at least 60 days preceding the date the consumer electronically accesses the account, </w:t>
            </w:r>
            <w:r w:rsidR="007D1955">
              <w:rPr>
                <w:rFonts w:ascii="Arial" w:hAnsi="Arial" w:cs="Arial"/>
                <w:sz w:val="18"/>
                <w:szCs w:val="18"/>
              </w:rPr>
              <w:t>and</w:t>
            </w:r>
          </w:p>
        </w:tc>
        <w:tc>
          <w:tcPr>
            <w:tcW w:w="660" w:type="dxa"/>
          </w:tcPr>
          <w:p w14:paraId="69981CD0" w14:textId="77777777" w:rsidR="003D07CA" w:rsidRPr="00637580" w:rsidRDefault="003D07CA" w:rsidP="003E1F68">
            <w:pPr>
              <w:spacing w:before="40" w:after="40"/>
              <w:jc w:val="center"/>
              <w:rPr>
                <w:rFonts w:ascii="Arial" w:hAnsi="Arial" w:cs="Arial"/>
                <w:sz w:val="18"/>
                <w:szCs w:val="18"/>
              </w:rPr>
            </w:pPr>
          </w:p>
        </w:tc>
        <w:tc>
          <w:tcPr>
            <w:tcW w:w="660" w:type="dxa"/>
          </w:tcPr>
          <w:p w14:paraId="69981CD1" w14:textId="77777777" w:rsidR="003D07CA" w:rsidRPr="00637580" w:rsidRDefault="003D07CA" w:rsidP="003E1F68">
            <w:pPr>
              <w:spacing w:before="40" w:after="40"/>
              <w:jc w:val="center"/>
              <w:rPr>
                <w:rFonts w:ascii="Arial" w:hAnsi="Arial" w:cs="Arial"/>
                <w:sz w:val="18"/>
                <w:szCs w:val="18"/>
              </w:rPr>
            </w:pPr>
          </w:p>
        </w:tc>
        <w:tc>
          <w:tcPr>
            <w:tcW w:w="660" w:type="dxa"/>
          </w:tcPr>
          <w:p w14:paraId="69981CD2" w14:textId="77777777" w:rsidR="003D07CA" w:rsidRPr="00637580" w:rsidRDefault="003D07CA" w:rsidP="003E1F68">
            <w:pPr>
              <w:spacing w:before="40" w:after="40"/>
              <w:jc w:val="center"/>
              <w:rPr>
                <w:rFonts w:ascii="Arial" w:hAnsi="Arial" w:cs="Arial"/>
                <w:sz w:val="18"/>
                <w:szCs w:val="18"/>
              </w:rPr>
            </w:pPr>
          </w:p>
        </w:tc>
      </w:tr>
      <w:tr w:rsidR="003D07CA" w:rsidRPr="00637580" w14:paraId="69981CDA" w14:textId="77777777" w:rsidTr="003E1F68">
        <w:tc>
          <w:tcPr>
            <w:tcW w:w="7020" w:type="dxa"/>
          </w:tcPr>
          <w:p w14:paraId="69981CD4" w14:textId="77777777" w:rsidR="003D07CA" w:rsidRPr="00637580" w:rsidRDefault="003D07CA" w:rsidP="00525B7F">
            <w:pPr>
              <w:pStyle w:val="Checklist1a"/>
              <w:numPr>
                <w:ilvl w:val="2"/>
                <w:numId w:val="103"/>
              </w:numPr>
              <w:tabs>
                <w:tab w:val="clear" w:pos="1440"/>
              </w:tabs>
              <w:spacing w:before="40" w:after="40"/>
              <w:ind w:left="882"/>
              <w:jc w:val="left"/>
              <w:rPr>
                <w:rFonts w:ascii="Arial" w:hAnsi="Arial" w:cs="Arial"/>
                <w:sz w:val="18"/>
                <w:szCs w:val="18"/>
              </w:rPr>
            </w:pPr>
            <w:r w:rsidRPr="00637580">
              <w:rPr>
                <w:rFonts w:ascii="Arial" w:hAnsi="Arial" w:cs="Arial"/>
                <w:sz w:val="18"/>
                <w:szCs w:val="18"/>
              </w:rPr>
              <w:t>a written history of the consumer’s account transactions that is provided promptly in response to an oral or written request and that covers at least 60 days preceding the date the financial institution receives the consumer’s request? (12 CFR 1005.18(b))</w:t>
            </w:r>
          </w:p>
          <w:p w14:paraId="69981CD5" w14:textId="77777777" w:rsidR="003D07CA" w:rsidRPr="00637580" w:rsidRDefault="003D07CA" w:rsidP="003E1F68">
            <w:pPr>
              <w:pStyle w:val="Checklist1a"/>
              <w:numPr>
                <w:ilvl w:val="0"/>
                <w:numId w:val="0"/>
              </w:numPr>
              <w:spacing w:before="40" w:after="40"/>
              <w:ind w:left="882"/>
              <w:jc w:val="left"/>
              <w:rPr>
                <w:rFonts w:ascii="Arial" w:hAnsi="Arial" w:cs="Arial"/>
                <w:sz w:val="18"/>
                <w:szCs w:val="18"/>
              </w:rPr>
            </w:pPr>
          </w:p>
          <w:p w14:paraId="69981CD6" w14:textId="77777777" w:rsidR="003D07CA" w:rsidRPr="00637580" w:rsidRDefault="003D07CA" w:rsidP="00AB7B15">
            <w:pPr>
              <w:pStyle w:val="Checklist1a"/>
              <w:numPr>
                <w:ilvl w:val="0"/>
                <w:numId w:val="0"/>
              </w:numPr>
              <w:spacing w:before="40" w:after="40"/>
              <w:ind w:left="518"/>
              <w:jc w:val="left"/>
              <w:rPr>
                <w:rFonts w:ascii="Arial" w:hAnsi="Arial" w:cs="Arial"/>
                <w:sz w:val="18"/>
                <w:szCs w:val="18"/>
              </w:rPr>
            </w:pPr>
            <w:r w:rsidRPr="00637580">
              <w:rPr>
                <w:rFonts w:ascii="Arial" w:hAnsi="Arial" w:cs="Arial"/>
                <w:b/>
                <w:sz w:val="18"/>
                <w:szCs w:val="18"/>
              </w:rPr>
              <w:t>Note</w:t>
            </w:r>
            <w:r w:rsidRPr="00637580">
              <w:rPr>
                <w:rFonts w:ascii="Arial" w:hAnsi="Arial" w:cs="Arial"/>
                <w:b/>
                <w:i/>
                <w:sz w:val="18"/>
                <w:szCs w:val="18"/>
              </w:rPr>
              <w:t>:</w:t>
            </w:r>
            <w:r w:rsidRPr="00637580">
              <w:rPr>
                <w:rFonts w:ascii="Arial" w:hAnsi="Arial" w:cs="Arial"/>
                <w:sz w:val="18"/>
                <w:szCs w:val="18"/>
              </w:rPr>
              <w:t xml:space="preserve"> The history of account transactions must include the information set forth in 12 CFR 1005.9(b).</w:t>
            </w:r>
          </w:p>
        </w:tc>
        <w:tc>
          <w:tcPr>
            <w:tcW w:w="660" w:type="dxa"/>
            <w:tcBorders>
              <w:bottom w:val="single" w:sz="4" w:space="0" w:color="auto"/>
            </w:tcBorders>
          </w:tcPr>
          <w:p w14:paraId="69981CD7"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CD8"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CD9" w14:textId="77777777" w:rsidR="003D07CA" w:rsidRPr="00637580" w:rsidRDefault="003D07CA" w:rsidP="003E1F68">
            <w:pPr>
              <w:spacing w:before="40" w:after="40"/>
              <w:jc w:val="center"/>
              <w:rPr>
                <w:rFonts w:ascii="Arial" w:hAnsi="Arial" w:cs="Arial"/>
                <w:sz w:val="18"/>
                <w:szCs w:val="18"/>
              </w:rPr>
            </w:pPr>
          </w:p>
        </w:tc>
      </w:tr>
      <w:tr w:rsidR="003D07CA" w:rsidRPr="00637580" w14:paraId="69981CDF" w14:textId="77777777" w:rsidTr="003E1F68">
        <w:tc>
          <w:tcPr>
            <w:tcW w:w="7020" w:type="dxa"/>
          </w:tcPr>
          <w:p w14:paraId="69981CDB" w14:textId="77777777" w:rsidR="003D07CA" w:rsidRPr="00637580" w:rsidRDefault="003D07CA" w:rsidP="00525B7F">
            <w:pPr>
              <w:pStyle w:val="Checklist1"/>
              <w:numPr>
                <w:ilvl w:val="0"/>
                <w:numId w:val="94"/>
              </w:numPr>
              <w:spacing w:before="40" w:after="40"/>
              <w:ind w:left="522" w:hanging="540"/>
              <w:rPr>
                <w:rFonts w:ascii="Arial" w:hAnsi="Arial" w:cs="Arial"/>
                <w:sz w:val="18"/>
                <w:szCs w:val="18"/>
              </w:rPr>
            </w:pPr>
            <w:r w:rsidRPr="00637580">
              <w:rPr>
                <w:rFonts w:ascii="Arial" w:hAnsi="Arial" w:cs="Arial"/>
                <w:sz w:val="18"/>
                <w:szCs w:val="18"/>
              </w:rPr>
              <w:t>Does the financial institution provide initial disclosures that include at a minimum</w:t>
            </w:r>
          </w:p>
        </w:tc>
        <w:tc>
          <w:tcPr>
            <w:tcW w:w="660" w:type="dxa"/>
            <w:shd w:val="clear" w:color="auto" w:fill="D9D9D9" w:themeFill="background1" w:themeFillShade="D9"/>
          </w:tcPr>
          <w:p w14:paraId="69981CDC"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CDD" w14:textId="77777777" w:rsidR="003D07CA" w:rsidRPr="00637580" w:rsidRDefault="003D07CA" w:rsidP="003E1F68">
            <w:pPr>
              <w:spacing w:before="40" w:after="40"/>
              <w:jc w:val="center"/>
              <w:rPr>
                <w:rFonts w:ascii="Arial" w:hAnsi="Arial" w:cs="Arial"/>
                <w:b/>
                <w:sz w:val="18"/>
                <w:szCs w:val="18"/>
              </w:rPr>
            </w:pPr>
          </w:p>
        </w:tc>
        <w:tc>
          <w:tcPr>
            <w:tcW w:w="660" w:type="dxa"/>
            <w:shd w:val="clear" w:color="auto" w:fill="D9D9D9" w:themeFill="background1" w:themeFillShade="D9"/>
          </w:tcPr>
          <w:p w14:paraId="69981CDE" w14:textId="77777777" w:rsidR="003D07CA" w:rsidRPr="00637580" w:rsidRDefault="003D07CA" w:rsidP="003E1F68">
            <w:pPr>
              <w:spacing w:before="40" w:after="40"/>
              <w:jc w:val="center"/>
              <w:rPr>
                <w:rFonts w:ascii="Arial" w:hAnsi="Arial" w:cs="Arial"/>
                <w:b/>
                <w:sz w:val="18"/>
                <w:szCs w:val="18"/>
              </w:rPr>
            </w:pPr>
          </w:p>
        </w:tc>
      </w:tr>
      <w:tr w:rsidR="003D07CA" w:rsidRPr="00637580" w14:paraId="69981CE4" w14:textId="77777777" w:rsidTr="003E1F68">
        <w:tc>
          <w:tcPr>
            <w:tcW w:w="7020" w:type="dxa"/>
          </w:tcPr>
          <w:p w14:paraId="69981CE0" w14:textId="77777777" w:rsidR="003D07CA" w:rsidRPr="00637580" w:rsidRDefault="003D07CA" w:rsidP="00525B7F">
            <w:pPr>
              <w:pStyle w:val="Checklist1a"/>
              <w:numPr>
                <w:ilvl w:val="2"/>
                <w:numId w:val="104"/>
              </w:numPr>
              <w:tabs>
                <w:tab w:val="clear" w:pos="1440"/>
              </w:tabs>
              <w:spacing w:before="40" w:after="40"/>
              <w:ind w:left="882"/>
              <w:jc w:val="left"/>
              <w:rPr>
                <w:rFonts w:ascii="Arial" w:hAnsi="Arial" w:cs="Arial"/>
                <w:sz w:val="18"/>
                <w:szCs w:val="18"/>
              </w:rPr>
            </w:pPr>
            <w:r w:rsidRPr="00637580">
              <w:rPr>
                <w:rFonts w:ascii="Arial" w:hAnsi="Arial" w:cs="Arial"/>
                <w:sz w:val="18"/>
                <w:szCs w:val="18"/>
              </w:rPr>
              <w:t>a telephone number that the consumer may call to obtain the account balance, the means by which the consumer can obtain an electronic account history, such as the address of a Web site, and a summary of the consumer's right to receive a written account history upon request, including a telephone number to call to request a history, and</w:t>
            </w:r>
          </w:p>
        </w:tc>
        <w:tc>
          <w:tcPr>
            <w:tcW w:w="660" w:type="dxa"/>
          </w:tcPr>
          <w:p w14:paraId="69981CE1" w14:textId="77777777" w:rsidR="003D07CA" w:rsidRPr="00637580" w:rsidRDefault="003D07CA" w:rsidP="003E1F68">
            <w:pPr>
              <w:spacing w:before="40" w:after="40"/>
              <w:jc w:val="center"/>
              <w:rPr>
                <w:rFonts w:ascii="Arial" w:hAnsi="Arial" w:cs="Arial"/>
                <w:sz w:val="18"/>
                <w:szCs w:val="18"/>
              </w:rPr>
            </w:pPr>
          </w:p>
        </w:tc>
        <w:tc>
          <w:tcPr>
            <w:tcW w:w="660" w:type="dxa"/>
          </w:tcPr>
          <w:p w14:paraId="69981CE2" w14:textId="77777777" w:rsidR="003D07CA" w:rsidRPr="00637580" w:rsidRDefault="003D07CA" w:rsidP="003E1F68">
            <w:pPr>
              <w:spacing w:before="40" w:after="40"/>
              <w:jc w:val="center"/>
              <w:rPr>
                <w:rFonts w:ascii="Arial" w:hAnsi="Arial" w:cs="Arial"/>
                <w:sz w:val="18"/>
                <w:szCs w:val="18"/>
              </w:rPr>
            </w:pPr>
          </w:p>
        </w:tc>
        <w:tc>
          <w:tcPr>
            <w:tcW w:w="660" w:type="dxa"/>
          </w:tcPr>
          <w:p w14:paraId="69981CE3" w14:textId="77777777" w:rsidR="003D07CA" w:rsidRPr="00637580" w:rsidRDefault="003D07CA" w:rsidP="003E1F68">
            <w:pPr>
              <w:spacing w:before="40" w:after="40"/>
              <w:jc w:val="center"/>
              <w:rPr>
                <w:rFonts w:ascii="Arial" w:hAnsi="Arial" w:cs="Arial"/>
                <w:sz w:val="18"/>
                <w:szCs w:val="18"/>
              </w:rPr>
            </w:pPr>
          </w:p>
        </w:tc>
      </w:tr>
      <w:tr w:rsidR="003D07CA" w:rsidRPr="00637580" w14:paraId="69981CE9" w14:textId="77777777" w:rsidTr="003E1F68">
        <w:tc>
          <w:tcPr>
            <w:tcW w:w="7020" w:type="dxa"/>
          </w:tcPr>
          <w:p w14:paraId="69981CE5" w14:textId="77777777" w:rsidR="003D07CA" w:rsidRPr="00637580" w:rsidRDefault="003D07CA" w:rsidP="00525B7F">
            <w:pPr>
              <w:pStyle w:val="Checklist1a"/>
              <w:numPr>
                <w:ilvl w:val="2"/>
                <w:numId w:val="104"/>
              </w:numPr>
              <w:tabs>
                <w:tab w:val="clear" w:pos="1440"/>
              </w:tabs>
              <w:spacing w:before="40" w:after="40"/>
              <w:ind w:left="882"/>
              <w:jc w:val="left"/>
              <w:rPr>
                <w:rFonts w:ascii="Arial" w:hAnsi="Arial" w:cs="Arial"/>
                <w:sz w:val="18"/>
                <w:szCs w:val="18"/>
              </w:rPr>
            </w:pPr>
            <w:r w:rsidRPr="00637580">
              <w:rPr>
                <w:rFonts w:ascii="Arial" w:hAnsi="Arial" w:cs="Arial"/>
                <w:sz w:val="18"/>
                <w:szCs w:val="18"/>
              </w:rPr>
              <w:t>a notice concerning error resolution? (12 CFR 1005.18(c)(1))</w:t>
            </w:r>
          </w:p>
        </w:tc>
        <w:tc>
          <w:tcPr>
            <w:tcW w:w="660" w:type="dxa"/>
          </w:tcPr>
          <w:p w14:paraId="69981CE6" w14:textId="77777777" w:rsidR="003D07CA" w:rsidRPr="00637580" w:rsidRDefault="003D07CA" w:rsidP="003E1F68">
            <w:pPr>
              <w:spacing w:before="40" w:after="40"/>
              <w:jc w:val="center"/>
              <w:rPr>
                <w:rFonts w:ascii="Arial" w:hAnsi="Arial" w:cs="Arial"/>
                <w:sz w:val="18"/>
                <w:szCs w:val="18"/>
              </w:rPr>
            </w:pPr>
          </w:p>
        </w:tc>
        <w:tc>
          <w:tcPr>
            <w:tcW w:w="660" w:type="dxa"/>
          </w:tcPr>
          <w:p w14:paraId="69981CE7" w14:textId="77777777" w:rsidR="003D07CA" w:rsidRPr="00637580" w:rsidRDefault="003D07CA" w:rsidP="003E1F68">
            <w:pPr>
              <w:spacing w:before="40" w:after="40"/>
              <w:jc w:val="center"/>
              <w:rPr>
                <w:rFonts w:ascii="Arial" w:hAnsi="Arial" w:cs="Arial"/>
                <w:sz w:val="18"/>
                <w:szCs w:val="18"/>
              </w:rPr>
            </w:pPr>
          </w:p>
        </w:tc>
        <w:tc>
          <w:tcPr>
            <w:tcW w:w="660" w:type="dxa"/>
          </w:tcPr>
          <w:p w14:paraId="69981CE8" w14:textId="77777777" w:rsidR="003D07CA" w:rsidRPr="00637580" w:rsidRDefault="003D07CA" w:rsidP="003E1F68">
            <w:pPr>
              <w:spacing w:before="40" w:after="40"/>
              <w:jc w:val="center"/>
              <w:rPr>
                <w:rFonts w:ascii="Arial" w:hAnsi="Arial" w:cs="Arial"/>
                <w:sz w:val="18"/>
                <w:szCs w:val="18"/>
              </w:rPr>
            </w:pPr>
          </w:p>
        </w:tc>
      </w:tr>
      <w:tr w:rsidR="003D07CA" w:rsidRPr="00637580" w14:paraId="69981CEE" w14:textId="77777777" w:rsidTr="003E1F68">
        <w:tc>
          <w:tcPr>
            <w:tcW w:w="7020" w:type="dxa"/>
          </w:tcPr>
          <w:p w14:paraId="69981CEA" w14:textId="77777777" w:rsidR="003D07CA" w:rsidRPr="00637580" w:rsidRDefault="003D07CA" w:rsidP="00525B7F">
            <w:pPr>
              <w:pStyle w:val="Checklist1"/>
              <w:numPr>
                <w:ilvl w:val="0"/>
                <w:numId w:val="94"/>
              </w:numPr>
              <w:spacing w:before="40" w:after="40"/>
              <w:ind w:left="522" w:hanging="540"/>
              <w:rPr>
                <w:rFonts w:ascii="Arial" w:hAnsi="Arial" w:cs="Arial"/>
                <w:sz w:val="18"/>
                <w:szCs w:val="18"/>
              </w:rPr>
            </w:pPr>
            <w:r w:rsidRPr="00637580">
              <w:rPr>
                <w:rFonts w:ascii="Arial" w:hAnsi="Arial" w:cs="Arial"/>
                <w:sz w:val="18"/>
                <w:szCs w:val="18"/>
              </w:rPr>
              <w:t>Does the financial institution provide an annual notice concerning error resolution or, alternatively, an abbreviated notice with each electronic and written history? (12 CFR 1005.18(c)(2))</w:t>
            </w:r>
          </w:p>
        </w:tc>
        <w:tc>
          <w:tcPr>
            <w:tcW w:w="660" w:type="dxa"/>
          </w:tcPr>
          <w:p w14:paraId="69981CEB" w14:textId="77777777" w:rsidR="003D07CA" w:rsidRPr="00637580" w:rsidRDefault="003D07CA" w:rsidP="003E1F68">
            <w:pPr>
              <w:spacing w:before="40" w:after="40"/>
              <w:jc w:val="center"/>
              <w:rPr>
                <w:rFonts w:ascii="Arial" w:hAnsi="Arial" w:cs="Arial"/>
                <w:sz w:val="18"/>
                <w:szCs w:val="18"/>
              </w:rPr>
            </w:pPr>
          </w:p>
        </w:tc>
        <w:tc>
          <w:tcPr>
            <w:tcW w:w="660" w:type="dxa"/>
          </w:tcPr>
          <w:p w14:paraId="69981CEC" w14:textId="77777777" w:rsidR="003D07CA" w:rsidRPr="00637580" w:rsidRDefault="003D07CA" w:rsidP="003E1F68">
            <w:pPr>
              <w:spacing w:before="40" w:after="40"/>
              <w:jc w:val="center"/>
              <w:rPr>
                <w:rFonts w:ascii="Arial" w:hAnsi="Arial" w:cs="Arial"/>
                <w:sz w:val="18"/>
                <w:szCs w:val="18"/>
              </w:rPr>
            </w:pPr>
          </w:p>
        </w:tc>
        <w:tc>
          <w:tcPr>
            <w:tcW w:w="660" w:type="dxa"/>
          </w:tcPr>
          <w:p w14:paraId="69981CED" w14:textId="77777777" w:rsidR="003D07CA" w:rsidRPr="00637580" w:rsidRDefault="003D07CA" w:rsidP="003E1F68">
            <w:pPr>
              <w:spacing w:before="40" w:after="40"/>
              <w:jc w:val="center"/>
              <w:rPr>
                <w:rFonts w:ascii="Arial" w:hAnsi="Arial" w:cs="Arial"/>
                <w:sz w:val="18"/>
                <w:szCs w:val="18"/>
              </w:rPr>
            </w:pPr>
          </w:p>
        </w:tc>
      </w:tr>
      <w:tr w:rsidR="003D07CA" w:rsidRPr="00637580" w14:paraId="69981CF5" w14:textId="77777777" w:rsidTr="003E1F68">
        <w:tc>
          <w:tcPr>
            <w:tcW w:w="7020" w:type="dxa"/>
          </w:tcPr>
          <w:p w14:paraId="69981CEF" w14:textId="77777777" w:rsidR="003D07CA" w:rsidRPr="00637580" w:rsidRDefault="003D07CA" w:rsidP="00525B7F">
            <w:pPr>
              <w:pStyle w:val="Checklist1"/>
              <w:numPr>
                <w:ilvl w:val="0"/>
                <w:numId w:val="94"/>
              </w:numPr>
              <w:spacing w:before="40" w:after="40"/>
              <w:ind w:left="522" w:hanging="522"/>
              <w:rPr>
                <w:rFonts w:ascii="Arial" w:hAnsi="Arial" w:cs="Arial"/>
                <w:sz w:val="18"/>
                <w:szCs w:val="18"/>
              </w:rPr>
            </w:pPr>
            <w:r w:rsidRPr="00637580">
              <w:rPr>
                <w:rFonts w:ascii="Arial" w:hAnsi="Arial" w:cs="Arial"/>
                <w:sz w:val="18"/>
                <w:szCs w:val="18"/>
              </w:rPr>
              <w:t xml:space="preserve">Does the financial institution begin the 60-day period for reporting any unauthorized </w:t>
            </w:r>
            <w:r w:rsidR="007135E4">
              <w:rPr>
                <w:rFonts w:ascii="Arial" w:hAnsi="Arial" w:cs="Arial"/>
                <w:sz w:val="18"/>
                <w:szCs w:val="18"/>
              </w:rPr>
              <w:t>transfer under 12 CFR 1005.6(b</w:t>
            </w:r>
            <w:proofErr w:type="gramStart"/>
            <w:r w:rsidR="007135E4">
              <w:rPr>
                <w:rFonts w:ascii="Arial" w:hAnsi="Arial" w:cs="Arial"/>
                <w:sz w:val="18"/>
                <w:szCs w:val="18"/>
              </w:rPr>
              <w:t>)</w:t>
            </w:r>
            <w:r w:rsidRPr="00637580">
              <w:rPr>
                <w:rFonts w:ascii="Arial" w:hAnsi="Arial" w:cs="Arial"/>
                <w:sz w:val="18"/>
                <w:szCs w:val="18"/>
              </w:rPr>
              <w:t>(</w:t>
            </w:r>
            <w:proofErr w:type="gramEnd"/>
            <w:r w:rsidRPr="00637580">
              <w:rPr>
                <w:rFonts w:ascii="Arial" w:hAnsi="Arial" w:cs="Arial"/>
                <w:sz w:val="18"/>
                <w:szCs w:val="18"/>
              </w:rPr>
              <w:t>3) on the earlier of the date the consumer electronically accesses the consumer</w:t>
            </w:r>
            <w:r>
              <w:rPr>
                <w:rFonts w:ascii="Arial" w:hAnsi="Arial" w:cs="Arial"/>
                <w:sz w:val="18"/>
                <w:szCs w:val="18"/>
              </w:rPr>
              <w:t>’</w:t>
            </w:r>
            <w:r w:rsidRPr="00637580">
              <w:rPr>
                <w:rFonts w:ascii="Arial" w:hAnsi="Arial" w:cs="Arial"/>
                <w:sz w:val="18"/>
                <w:szCs w:val="18"/>
              </w:rPr>
              <w:t>s account after the electronic history made available to the consumer reflects the transfer; or the date the financial institution sends a written history of the consumer's account transactions requested by the consumer in which the unauthorized transfer is first reflected? (12 CFR 1005.18(c)(3))</w:t>
            </w:r>
          </w:p>
          <w:p w14:paraId="69981CF0" w14:textId="77777777" w:rsidR="003D07CA" w:rsidRPr="00637580" w:rsidRDefault="003D07CA" w:rsidP="003E1F68">
            <w:pPr>
              <w:pStyle w:val="Checklist1"/>
              <w:spacing w:before="40" w:after="40"/>
              <w:ind w:left="522"/>
              <w:rPr>
                <w:rFonts w:ascii="Arial" w:hAnsi="Arial" w:cs="Arial"/>
                <w:sz w:val="18"/>
                <w:szCs w:val="18"/>
              </w:rPr>
            </w:pPr>
          </w:p>
          <w:p w14:paraId="69981CF1" w14:textId="77777777" w:rsidR="003D07CA" w:rsidRPr="00637580" w:rsidRDefault="003D07CA" w:rsidP="003E1F68">
            <w:pPr>
              <w:pStyle w:val="Checklist1"/>
              <w:spacing w:before="40" w:after="40"/>
              <w:ind w:left="522"/>
              <w:rPr>
                <w:rFonts w:ascii="Arial" w:hAnsi="Arial" w:cs="Arial"/>
                <w:sz w:val="18"/>
                <w:szCs w:val="18"/>
              </w:rPr>
            </w:pPr>
            <w:r w:rsidRPr="00637580">
              <w:rPr>
                <w:rFonts w:ascii="Arial" w:hAnsi="Arial" w:cs="Arial"/>
                <w:b/>
                <w:sz w:val="18"/>
                <w:szCs w:val="18"/>
              </w:rPr>
              <w:t>Note</w:t>
            </w:r>
            <w:r w:rsidRPr="00197862">
              <w:rPr>
                <w:rFonts w:ascii="Arial" w:hAnsi="Arial" w:cs="Arial"/>
                <w:b/>
                <w:sz w:val="18"/>
                <w:szCs w:val="18"/>
              </w:rPr>
              <w:t>:</w:t>
            </w:r>
            <w:r w:rsidRPr="00637580">
              <w:rPr>
                <w:rFonts w:ascii="Arial" w:hAnsi="Arial" w:cs="Arial"/>
                <w:sz w:val="18"/>
                <w:szCs w:val="18"/>
              </w:rPr>
              <w:t xml:space="preserve"> A financial institution may comply with the provision above by limiting the consumer</w:t>
            </w:r>
            <w:r>
              <w:rPr>
                <w:rFonts w:ascii="Arial" w:hAnsi="Arial" w:cs="Arial"/>
                <w:sz w:val="18"/>
                <w:szCs w:val="18"/>
              </w:rPr>
              <w:t>’</w:t>
            </w:r>
            <w:r w:rsidRPr="00637580">
              <w:rPr>
                <w:rFonts w:ascii="Arial" w:hAnsi="Arial" w:cs="Arial"/>
                <w:sz w:val="18"/>
                <w:szCs w:val="18"/>
              </w:rPr>
              <w:t>s liability for an unauthorized transfer</w:t>
            </w:r>
            <w:r>
              <w:rPr>
                <w:rFonts w:ascii="Arial" w:hAnsi="Arial" w:cs="Arial"/>
                <w:sz w:val="18"/>
                <w:szCs w:val="18"/>
              </w:rPr>
              <w:t>,</w:t>
            </w:r>
            <w:r w:rsidRPr="00637580">
              <w:rPr>
                <w:rFonts w:ascii="Arial" w:hAnsi="Arial" w:cs="Arial"/>
                <w:sz w:val="18"/>
                <w:szCs w:val="18"/>
              </w:rPr>
              <w:t xml:space="preserve"> as provided under 12</w:t>
            </w:r>
            <w:r>
              <w:rPr>
                <w:rFonts w:ascii="Arial" w:hAnsi="Arial" w:cs="Arial"/>
                <w:sz w:val="18"/>
                <w:szCs w:val="18"/>
              </w:rPr>
              <w:t> </w:t>
            </w:r>
            <w:r w:rsidRPr="00637580">
              <w:rPr>
                <w:rFonts w:ascii="Arial" w:hAnsi="Arial" w:cs="Arial"/>
                <w:sz w:val="18"/>
                <w:szCs w:val="18"/>
              </w:rPr>
              <w:t>CFR 1005.6(b)(3) for any transfer reported by the consumer within 120 days after the transfer was credited or debited to the consumer’s account.</w:t>
            </w:r>
          </w:p>
        </w:tc>
        <w:tc>
          <w:tcPr>
            <w:tcW w:w="660" w:type="dxa"/>
          </w:tcPr>
          <w:p w14:paraId="69981CF2" w14:textId="77777777" w:rsidR="003D07CA" w:rsidRPr="00637580" w:rsidRDefault="003D07CA" w:rsidP="003E1F68">
            <w:pPr>
              <w:spacing w:before="40" w:after="40"/>
              <w:jc w:val="center"/>
              <w:rPr>
                <w:rFonts w:ascii="Arial" w:hAnsi="Arial" w:cs="Arial"/>
                <w:sz w:val="18"/>
                <w:szCs w:val="18"/>
              </w:rPr>
            </w:pPr>
          </w:p>
        </w:tc>
        <w:tc>
          <w:tcPr>
            <w:tcW w:w="660" w:type="dxa"/>
          </w:tcPr>
          <w:p w14:paraId="69981CF3" w14:textId="77777777" w:rsidR="003D07CA" w:rsidRPr="00637580" w:rsidRDefault="003D07CA" w:rsidP="003E1F68">
            <w:pPr>
              <w:spacing w:before="40" w:after="40"/>
              <w:jc w:val="center"/>
              <w:rPr>
                <w:rFonts w:ascii="Arial" w:hAnsi="Arial" w:cs="Arial"/>
                <w:sz w:val="18"/>
                <w:szCs w:val="18"/>
              </w:rPr>
            </w:pPr>
          </w:p>
        </w:tc>
        <w:tc>
          <w:tcPr>
            <w:tcW w:w="660" w:type="dxa"/>
          </w:tcPr>
          <w:p w14:paraId="69981CF4" w14:textId="77777777" w:rsidR="003D07CA" w:rsidRPr="00637580" w:rsidRDefault="003D07CA" w:rsidP="003E1F68">
            <w:pPr>
              <w:spacing w:before="40" w:after="40"/>
              <w:jc w:val="center"/>
              <w:rPr>
                <w:rFonts w:ascii="Arial" w:hAnsi="Arial" w:cs="Arial"/>
                <w:sz w:val="18"/>
                <w:szCs w:val="18"/>
              </w:rPr>
            </w:pPr>
          </w:p>
        </w:tc>
      </w:tr>
    </w:tbl>
    <w:p w14:paraId="69981CF6" w14:textId="77777777" w:rsidR="003D07CA" w:rsidRPr="005C153B" w:rsidRDefault="003D07CA" w:rsidP="003D07CA">
      <w:pPr>
        <w:rPr>
          <w:rFonts w:ascii="Arial" w:hAnsi="Arial" w:cs="Arial"/>
          <w:sz w:val="18"/>
          <w:szCs w:val="18"/>
        </w:rPr>
      </w:pPr>
      <w:r w:rsidRPr="005C153B">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CFB" w14:textId="77777777" w:rsidTr="003E1F68">
        <w:tc>
          <w:tcPr>
            <w:tcW w:w="7020" w:type="dxa"/>
          </w:tcPr>
          <w:p w14:paraId="69981CF7"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tcPr>
          <w:p w14:paraId="69981CF8"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tcPr>
          <w:p w14:paraId="69981CF9"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60" w:type="dxa"/>
          </w:tcPr>
          <w:p w14:paraId="69981CFA"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D02" w14:textId="77777777" w:rsidTr="003E1F68">
        <w:tc>
          <w:tcPr>
            <w:tcW w:w="7020" w:type="dxa"/>
          </w:tcPr>
          <w:p w14:paraId="69981CFC" w14:textId="77777777" w:rsidR="003D07CA" w:rsidRPr="00637580" w:rsidRDefault="003D07CA" w:rsidP="00525B7F">
            <w:pPr>
              <w:pStyle w:val="Checklist1"/>
              <w:numPr>
                <w:ilvl w:val="0"/>
                <w:numId w:val="94"/>
              </w:numPr>
              <w:spacing w:before="40" w:after="40"/>
              <w:ind w:left="522" w:hanging="540"/>
              <w:rPr>
                <w:rFonts w:ascii="Arial" w:hAnsi="Arial" w:cs="Arial"/>
                <w:sz w:val="18"/>
                <w:szCs w:val="18"/>
              </w:rPr>
            </w:pPr>
            <w:r w:rsidRPr="00637580">
              <w:rPr>
                <w:rFonts w:ascii="Arial" w:hAnsi="Arial" w:cs="Arial"/>
                <w:sz w:val="18"/>
                <w:szCs w:val="18"/>
              </w:rPr>
              <w:t>Does the financial institution comply with the error resolution requirements in response to an oral or written notice of an error from the consumer that is received by the earlier of 60 days after the date the consumer electronically accesses the consumer's account after the electronic history made available to the consumer reflects the alleged error; or 60 days after the date the financial institution sends a written history of the consumer's account transactions requested by the consumer in which the alleged error is first reflected? (12</w:t>
            </w:r>
            <w:r>
              <w:rPr>
                <w:rFonts w:ascii="Arial" w:hAnsi="Arial" w:cs="Arial"/>
                <w:sz w:val="18"/>
                <w:szCs w:val="18"/>
              </w:rPr>
              <w:t> </w:t>
            </w:r>
            <w:r w:rsidRPr="00637580">
              <w:rPr>
                <w:rFonts w:ascii="Arial" w:hAnsi="Arial" w:cs="Arial"/>
                <w:sz w:val="18"/>
                <w:szCs w:val="18"/>
              </w:rPr>
              <w:t>CFR 1005.18(c)(4))</w:t>
            </w:r>
          </w:p>
          <w:p w14:paraId="69981CFD" w14:textId="77777777" w:rsidR="003D07CA" w:rsidRPr="00637580" w:rsidRDefault="003D07CA" w:rsidP="003E1F68">
            <w:pPr>
              <w:pStyle w:val="Checklist1"/>
              <w:spacing w:before="40" w:after="40"/>
              <w:ind w:left="522"/>
              <w:rPr>
                <w:rFonts w:ascii="Arial" w:hAnsi="Arial" w:cs="Arial"/>
                <w:sz w:val="18"/>
                <w:szCs w:val="18"/>
              </w:rPr>
            </w:pPr>
          </w:p>
          <w:p w14:paraId="69981CFE" w14:textId="77777777" w:rsidR="003D07CA" w:rsidRPr="00637580" w:rsidRDefault="003D07CA" w:rsidP="003E1F68">
            <w:pPr>
              <w:pStyle w:val="Checklist1"/>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b/>
                <w:i/>
                <w:sz w:val="18"/>
                <w:szCs w:val="18"/>
              </w:rPr>
              <w:t>:</w:t>
            </w:r>
            <w:r w:rsidRPr="00637580">
              <w:rPr>
                <w:rFonts w:ascii="Arial" w:hAnsi="Arial" w:cs="Arial"/>
                <w:sz w:val="18"/>
                <w:szCs w:val="18"/>
              </w:rPr>
              <w:t xml:space="preserve"> The financial institution may comply with the requirements for resolving errors by investigating any oral or written notice of an error from the consumer that is received by the institution within 120 days after the transfer allegedly in error was credited or debited to the consumer's account.</w:t>
            </w:r>
          </w:p>
        </w:tc>
        <w:tc>
          <w:tcPr>
            <w:tcW w:w="660" w:type="dxa"/>
          </w:tcPr>
          <w:p w14:paraId="69981CFF" w14:textId="77777777" w:rsidR="003D07CA" w:rsidRPr="00637580" w:rsidRDefault="003D07CA" w:rsidP="003E1F68">
            <w:pPr>
              <w:spacing w:before="40" w:after="40"/>
              <w:jc w:val="center"/>
              <w:rPr>
                <w:rFonts w:ascii="Arial" w:hAnsi="Arial" w:cs="Arial"/>
                <w:sz w:val="18"/>
                <w:szCs w:val="18"/>
              </w:rPr>
            </w:pPr>
          </w:p>
        </w:tc>
        <w:tc>
          <w:tcPr>
            <w:tcW w:w="660" w:type="dxa"/>
          </w:tcPr>
          <w:p w14:paraId="69981D00" w14:textId="77777777" w:rsidR="003D07CA" w:rsidRPr="00637580" w:rsidRDefault="003D07CA" w:rsidP="003E1F68">
            <w:pPr>
              <w:spacing w:before="40" w:after="40"/>
              <w:jc w:val="center"/>
              <w:rPr>
                <w:rFonts w:ascii="Arial" w:hAnsi="Arial" w:cs="Arial"/>
                <w:sz w:val="18"/>
                <w:szCs w:val="18"/>
              </w:rPr>
            </w:pPr>
          </w:p>
        </w:tc>
        <w:tc>
          <w:tcPr>
            <w:tcW w:w="660" w:type="dxa"/>
          </w:tcPr>
          <w:p w14:paraId="69981D01" w14:textId="77777777" w:rsidR="003D07CA" w:rsidRPr="00637580" w:rsidRDefault="003D07CA" w:rsidP="003E1F68">
            <w:pPr>
              <w:spacing w:before="40" w:after="40"/>
              <w:jc w:val="center"/>
              <w:rPr>
                <w:rFonts w:ascii="Arial" w:hAnsi="Arial" w:cs="Arial"/>
                <w:sz w:val="18"/>
                <w:szCs w:val="18"/>
              </w:rPr>
            </w:pPr>
          </w:p>
        </w:tc>
      </w:tr>
      <w:tr w:rsidR="003E10F1" w:rsidRPr="00637580" w14:paraId="69981D07" w14:textId="77777777" w:rsidTr="00AE596E">
        <w:tc>
          <w:tcPr>
            <w:tcW w:w="7020" w:type="dxa"/>
            <w:shd w:val="clear" w:color="auto" w:fill="D9D9D9" w:themeFill="background1" w:themeFillShade="D9"/>
          </w:tcPr>
          <w:p w14:paraId="69981D03" w14:textId="77777777" w:rsidR="003E10F1" w:rsidRDefault="003E10F1" w:rsidP="003E10F1">
            <w:pPr>
              <w:pStyle w:val="Checklist1"/>
              <w:spacing w:before="40" w:after="40"/>
              <w:rPr>
                <w:rFonts w:ascii="Arial" w:hAnsi="Arial" w:cs="Arial"/>
                <w:sz w:val="18"/>
                <w:szCs w:val="18"/>
              </w:rPr>
            </w:pPr>
            <w:r>
              <w:rPr>
                <w:rFonts w:ascii="Arial" w:hAnsi="Arial" w:cs="Arial"/>
                <w:b/>
                <w:sz w:val="18"/>
                <w:szCs w:val="18"/>
              </w:rPr>
              <w:t>12 CFR</w:t>
            </w:r>
            <w:r>
              <w:rPr>
                <w:rFonts w:ascii="Arial" w:hAnsi="Arial" w:cs="Arial"/>
                <w:b/>
                <w:bCs/>
                <w:sz w:val="18"/>
                <w:szCs w:val="18"/>
              </w:rPr>
              <w:t xml:space="preserve"> 1005.20</w:t>
            </w:r>
            <w:r w:rsidRPr="00637580">
              <w:rPr>
                <w:rFonts w:ascii="Arial" w:hAnsi="Arial" w:cs="Arial"/>
                <w:b/>
                <w:bCs/>
                <w:sz w:val="18"/>
                <w:szCs w:val="18"/>
              </w:rPr>
              <w:t xml:space="preserve"> –</w:t>
            </w:r>
            <w:r w:rsidR="005612BA">
              <w:rPr>
                <w:rFonts w:ascii="Arial" w:hAnsi="Arial" w:cs="Arial"/>
                <w:b/>
                <w:bCs/>
                <w:sz w:val="18"/>
                <w:szCs w:val="18"/>
              </w:rPr>
              <w:t xml:space="preserve"> </w:t>
            </w:r>
            <w:r>
              <w:rPr>
                <w:rFonts w:ascii="Arial" w:hAnsi="Arial" w:cs="Arial"/>
                <w:b/>
                <w:bCs/>
                <w:sz w:val="18"/>
                <w:szCs w:val="18"/>
              </w:rPr>
              <w:t>Requirements for Gift Cards and Gift Certificates</w:t>
            </w:r>
          </w:p>
        </w:tc>
        <w:tc>
          <w:tcPr>
            <w:tcW w:w="660" w:type="dxa"/>
            <w:shd w:val="clear" w:color="auto" w:fill="D9D9D9" w:themeFill="background1" w:themeFillShade="D9"/>
          </w:tcPr>
          <w:p w14:paraId="69981D04" w14:textId="77777777" w:rsidR="003E10F1" w:rsidRPr="00637580" w:rsidRDefault="003E10F1"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05" w14:textId="77777777" w:rsidR="003E10F1" w:rsidRPr="00637580" w:rsidRDefault="003E10F1"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06" w14:textId="77777777" w:rsidR="003E10F1" w:rsidRPr="00637580" w:rsidRDefault="003E10F1" w:rsidP="003E1F68">
            <w:pPr>
              <w:spacing w:before="40" w:after="40"/>
              <w:jc w:val="center"/>
              <w:rPr>
                <w:rFonts w:ascii="Arial" w:hAnsi="Arial" w:cs="Arial"/>
                <w:sz w:val="18"/>
                <w:szCs w:val="18"/>
              </w:rPr>
            </w:pPr>
          </w:p>
        </w:tc>
      </w:tr>
      <w:tr w:rsidR="003D07CA" w:rsidRPr="00637580" w14:paraId="69981D0C" w14:textId="77777777" w:rsidTr="003E1F68">
        <w:tc>
          <w:tcPr>
            <w:tcW w:w="7020" w:type="dxa"/>
          </w:tcPr>
          <w:p w14:paraId="69981D08" w14:textId="77777777" w:rsidR="003D07CA" w:rsidRPr="00637580" w:rsidRDefault="004E1FA2" w:rsidP="00525B7F">
            <w:pPr>
              <w:pStyle w:val="Checklist1"/>
              <w:numPr>
                <w:ilvl w:val="0"/>
                <w:numId w:val="94"/>
              </w:numPr>
              <w:spacing w:before="40" w:after="40"/>
              <w:ind w:left="522" w:hanging="522"/>
              <w:rPr>
                <w:rFonts w:ascii="Arial" w:hAnsi="Arial" w:cs="Arial"/>
                <w:sz w:val="18"/>
                <w:szCs w:val="18"/>
              </w:rPr>
            </w:pPr>
            <w:r>
              <w:rPr>
                <w:rFonts w:ascii="Arial" w:hAnsi="Arial" w:cs="Arial"/>
                <w:sz w:val="18"/>
                <w:szCs w:val="18"/>
              </w:rPr>
              <w:t xml:space="preserve">Is </w:t>
            </w:r>
            <w:r w:rsidR="003D07CA" w:rsidRPr="00637580">
              <w:rPr>
                <w:rFonts w:ascii="Arial" w:hAnsi="Arial" w:cs="Arial"/>
                <w:sz w:val="18"/>
                <w:szCs w:val="18"/>
              </w:rPr>
              <w:t xml:space="preserve">the financial institution a party in a certificate or card distribution chain, including but not limited to a card issuer, a program manager, and a retailer of prepaid cards, to the extent it engages in any of the acts covered by that section with respect to gift certificates, store </w:t>
            </w:r>
            <w:r w:rsidR="00CD5C0B">
              <w:rPr>
                <w:rFonts w:ascii="Arial" w:hAnsi="Arial" w:cs="Arial"/>
                <w:sz w:val="18"/>
                <w:szCs w:val="18"/>
              </w:rPr>
              <w:t>gift</w:t>
            </w:r>
            <w:r w:rsidR="003D07CA" w:rsidRPr="00637580">
              <w:rPr>
                <w:rFonts w:ascii="Arial" w:hAnsi="Arial" w:cs="Arial"/>
                <w:sz w:val="18"/>
                <w:szCs w:val="18"/>
              </w:rPr>
              <w:t xml:space="preserve"> cards, or general-use prepaid cards, or to loyalty, award, or promotional gift cards? </w:t>
            </w:r>
            <w:r w:rsidR="003D07CA" w:rsidRPr="003E10F1">
              <w:rPr>
                <w:rFonts w:ascii="Arial" w:hAnsi="Arial" w:cs="Arial"/>
                <w:sz w:val="18"/>
                <w:szCs w:val="18"/>
                <w:u w:val="single"/>
              </w:rPr>
              <w:t>If n</w:t>
            </w:r>
            <w:r w:rsidR="003D07CA" w:rsidRPr="00637580">
              <w:rPr>
                <w:rFonts w:ascii="Arial" w:hAnsi="Arial" w:cs="Arial"/>
                <w:sz w:val="18"/>
                <w:szCs w:val="18"/>
                <w:u w:val="single"/>
              </w:rPr>
              <w:t>o, do not complete this section.</w:t>
            </w:r>
          </w:p>
        </w:tc>
        <w:tc>
          <w:tcPr>
            <w:tcW w:w="660" w:type="dxa"/>
          </w:tcPr>
          <w:p w14:paraId="69981D09" w14:textId="77777777" w:rsidR="003D07CA" w:rsidRPr="00637580" w:rsidRDefault="003D07CA" w:rsidP="003E1F68">
            <w:pPr>
              <w:spacing w:before="40" w:after="40"/>
              <w:jc w:val="center"/>
              <w:rPr>
                <w:rFonts w:ascii="Arial" w:hAnsi="Arial" w:cs="Arial"/>
                <w:sz w:val="18"/>
                <w:szCs w:val="18"/>
              </w:rPr>
            </w:pPr>
          </w:p>
        </w:tc>
        <w:tc>
          <w:tcPr>
            <w:tcW w:w="660" w:type="dxa"/>
          </w:tcPr>
          <w:p w14:paraId="69981D0A" w14:textId="77777777" w:rsidR="003D07CA" w:rsidRPr="00637580" w:rsidRDefault="003D07CA" w:rsidP="003E1F68">
            <w:pPr>
              <w:spacing w:before="40" w:after="40"/>
              <w:jc w:val="center"/>
              <w:rPr>
                <w:rFonts w:ascii="Arial" w:hAnsi="Arial" w:cs="Arial"/>
                <w:sz w:val="18"/>
                <w:szCs w:val="18"/>
              </w:rPr>
            </w:pPr>
          </w:p>
        </w:tc>
        <w:tc>
          <w:tcPr>
            <w:tcW w:w="660" w:type="dxa"/>
          </w:tcPr>
          <w:p w14:paraId="69981D0B" w14:textId="77777777" w:rsidR="003D07CA" w:rsidRPr="00637580" w:rsidRDefault="003D07CA" w:rsidP="003E1F68">
            <w:pPr>
              <w:spacing w:before="40" w:after="40"/>
              <w:jc w:val="center"/>
              <w:rPr>
                <w:rFonts w:ascii="Arial" w:hAnsi="Arial" w:cs="Arial"/>
                <w:sz w:val="18"/>
                <w:szCs w:val="18"/>
              </w:rPr>
            </w:pPr>
          </w:p>
        </w:tc>
      </w:tr>
      <w:tr w:rsidR="003D07CA" w:rsidRPr="00637580" w14:paraId="69981D11" w14:textId="77777777" w:rsidTr="003E1F68">
        <w:tc>
          <w:tcPr>
            <w:tcW w:w="7020" w:type="dxa"/>
          </w:tcPr>
          <w:p w14:paraId="69981D0D" w14:textId="77777777" w:rsidR="003D07CA" w:rsidRPr="00637580" w:rsidRDefault="003D07CA" w:rsidP="00525B7F">
            <w:pPr>
              <w:pStyle w:val="Checklist1"/>
              <w:numPr>
                <w:ilvl w:val="0"/>
                <w:numId w:val="94"/>
              </w:numPr>
              <w:spacing w:before="40" w:after="40"/>
              <w:ind w:left="522" w:hanging="522"/>
              <w:rPr>
                <w:rFonts w:ascii="Arial" w:hAnsi="Arial" w:cs="Arial"/>
                <w:sz w:val="18"/>
                <w:szCs w:val="18"/>
              </w:rPr>
            </w:pPr>
            <w:r w:rsidRPr="00637580">
              <w:rPr>
                <w:rFonts w:ascii="Arial" w:hAnsi="Arial" w:cs="Arial"/>
                <w:sz w:val="18"/>
                <w:szCs w:val="18"/>
              </w:rPr>
              <w:t>Determine if the institution offers consumers, primarily for personal, family, or household purposes, in a specified amount, a card, code, or other device on a prepaid basis, the following:</w:t>
            </w:r>
          </w:p>
        </w:tc>
        <w:tc>
          <w:tcPr>
            <w:tcW w:w="660" w:type="dxa"/>
          </w:tcPr>
          <w:p w14:paraId="69981D0E" w14:textId="77777777" w:rsidR="003D07CA" w:rsidRPr="00637580" w:rsidRDefault="003D07CA" w:rsidP="003E1F68">
            <w:pPr>
              <w:spacing w:before="40" w:after="40"/>
              <w:jc w:val="center"/>
              <w:rPr>
                <w:rFonts w:ascii="Arial" w:hAnsi="Arial" w:cs="Arial"/>
                <w:sz w:val="18"/>
                <w:szCs w:val="18"/>
              </w:rPr>
            </w:pPr>
          </w:p>
        </w:tc>
        <w:tc>
          <w:tcPr>
            <w:tcW w:w="660" w:type="dxa"/>
          </w:tcPr>
          <w:p w14:paraId="69981D0F" w14:textId="77777777" w:rsidR="003D07CA" w:rsidRPr="00637580" w:rsidRDefault="003D07CA" w:rsidP="003E1F68">
            <w:pPr>
              <w:spacing w:before="40" w:after="40"/>
              <w:jc w:val="center"/>
              <w:rPr>
                <w:rFonts w:ascii="Arial" w:hAnsi="Arial" w:cs="Arial"/>
                <w:sz w:val="18"/>
                <w:szCs w:val="18"/>
              </w:rPr>
            </w:pPr>
          </w:p>
        </w:tc>
        <w:tc>
          <w:tcPr>
            <w:tcW w:w="660" w:type="dxa"/>
          </w:tcPr>
          <w:p w14:paraId="69981D10" w14:textId="77777777" w:rsidR="003D07CA" w:rsidRPr="00637580" w:rsidRDefault="003D07CA" w:rsidP="003E1F68">
            <w:pPr>
              <w:spacing w:before="40" w:after="40"/>
              <w:jc w:val="center"/>
              <w:rPr>
                <w:rFonts w:ascii="Arial" w:hAnsi="Arial" w:cs="Arial"/>
                <w:sz w:val="18"/>
                <w:szCs w:val="18"/>
              </w:rPr>
            </w:pPr>
          </w:p>
        </w:tc>
      </w:tr>
      <w:tr w:rsidR="003D07CA" w:rsidRPr="00637580" w14:paraId="69981D16" w14:textId="77777777" w:rsidTr="003E1F68">
        <w:tc>
          <w:tcPr>
            <w:tcW w:w="7020" w:type="dxa"/>
          </w:tcPr>
          <w:p w14:paraId="69981D12" w14:textId="77777777" w:rsidR="003D07CA" w:rsidRPr="00637580" w:rsidRDefault="003D07CA" w:rsidP="00525B7F">
            <w:pPr>
              <w:pStyle w:val="Checklist1a"/>
              <w:numPr>
                <w:ilvl w:val="2"/>
                <w:numId w:val="105"/>
              </w:numPr>
              <w:tabs>
                <w:tab w:val="clear" w:pos="1440"/>
              </w:tabs>
              <w:spacing w:before="40" w:after="40"/>
              <w:ind w:left="882"/>
              <w:jc w:val="left"/>
              <w:rPr>
                <w:rFonts w:ascii="Arial" w:hAnsi="Arial" w:cs="Arial"/>
                <w:b/>
                <w:bCs/>
                <w:color w:val="000000"/>
                <w:sz w:val="18"/>
                <w:szCs w:val="18"/>
              </w:rPr>
            </w:pPr>
            <w:r w:rsidRPr="00637580">
              <w:rPr>
                <w:rFonts w:ascii="Arial" w:hAnsi="Arial" w:cs="Arial"/>
                <w:sz w:val="18"/>
                <w:szCs w:val="18"/>
              </w:rPr>
              <w:t>Gift certificates</w:t>
            </w:r>
            <w:r>
              <w:rPr>
                <w:rFonts w:ascii="Arial" w:hAnsi="Arial" w:cs="Arial"/>
                <w:sz w:val="18"/>
                <w:szCs w:val="18"/>
              </w:rPr>
              <w:t>:</w:t>
            </w:r>
            <w:r w:rsidRPr="00637580">
              <w:rPr>
                <w:rFonts w:ascii="Arial" w:hAnsi="Arial" w:cs="Arial"/>
                <w:sz w:val="18"/>
                <w:szCs w:val="18"/>
              </w:rPr>
              <w:t xml:space="preserve"> which may not be increased or reloaded in exchange for payment and are redeemable upon presentation at a single merchant or an affiliated group of merchants for goods and services</w:t>
            </w:r>
            <w:bookmarkStart w:id="9" w:name="OLE_LINK6"/>
            <w:bookmarkStart w:id="10" w:name="OLE_LINK7"/>
            <w:r w:rsidR="00F52188">
              <w:rPr>
                <w:rFonts w:ascii="Arial" w:hAnsi="Arial" w:cs="Arial"/>
                <w:sz w:val="18"/>
                <w:szCs w:val="18"/>
              </w:rPr>
              <w:t>?</w:t>
            </w:r>
            <w:r w:rsidRPr="00637580">
              <w:rPr>
                <w:rFonts w:ascii="Arial" w:hAnsi="Arial" w:cs="Arial"/>
                <w:sz w:val="18"/>
                <w:szCs w:val="18"/>
              </w:rPr>
              <w:t xml:space="preserve">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1005.20(a)(1))</w:t>
            </w:r>
            <w:bookmarkEnd w:id="9"/>
            <w:bookmarkEnd w:id="10"/>
          </w:p>
        </w:tc>
        <w:tc>
          <w:tcPr>
            <w:tcW w:w="660" w:type="dxa"/>
          </w:tcPr>
          <w:p w14:paraId="69981D13" w14:textId="77777777" w:rsidR="003D07CA" w:rsidRPr="00637580" w:rsidRDefault="003D07CA" w:rsidP="003E1F68">
            <w:pPr>
              <w:spacing w:before="40" w:after="40"/>
              <w:jc w:val="center"/>
              <w:rPr>
                <w:rFonts w:ascii="Arial" w:hAnsi="Arial" w:cs="Arial"/>
                <w:sz w:val="18"/>
                <w:szCs w:val="18"/>
              </w:rPr>
            </w:pPr>
          </w:p>
        </w:tc>
        <w:tc>
          <w:tcPr>
            <w:tcW w:w="660" w:type="dxa"/>
          </w:tcPr>
          <w:p w14:paraId="69981D14" w14:textId="77777777" w:rsidR="003D07CA" w:rsidRPr="00637580" w:rsidRDefault="003D07CA" w:rsidP="003E1F68">
            <w:pPr>
              <w:spacing w:before="40" w:after="40"/>
              <w:jc w:val="center"/>
              <w:rPr>
                <w:rFonts w:ascii="Arial" w:hAnsi="Arial" w:cs="Arial"/>
                <w:sz w:val="18"/>
                <w:szCs w:val="18"/>
              </w:rPr>
            </w:pPr>
          </w:p>
        </w:tc>
        <w:tc>
          <w:tcPr>
            <w:tcW w:w="660" w:type="dxa"/>
          </w:tcPr>
          <w:p w14:paraId="69981D15" w14:textId="77777777" w:rsidR="003D07CA" w:rsidRPr="00637580" w:rsidRDefault="003D07CA" w:rsidP="003E1F68">
            <w:pPr>
              <w:spacing w:before="40" w:after="40"/>
              <w:jc w:val="center"/>
              <w:rPr>
                <w:rFonts w:ascii="Arial" w:hAnsi="Arial" w:cs="Arial"/>
                <w:sz w:val="18"/>
                <w:szCs w:val="18"/>
              </w:rPr>
            </w:pPr>
          </w:p>
        </w:tc>
      </w:tr>
      <w:tr w:rsidR="003D07CA" w:rsidRPr="00637580" w14:paraId="69981D1B" w14:textId="77777777" w:rsidTr="003E1F68">
        <w:tc>
          <w:tcPr>
            <w:tcW w:w="7020" w:type="dxa"/>
          </w:tcPr>
          <w:p w14:paraId="69981D17" w14:textId="77777777" w:rsidR="003D07CA" w:rsidRPr="007C7C6F" w:rsidRDefault="003D07CA" w:rsidP="00525B7F">
            <w:pPr>
              <w:pStyle w:val="Checklist1a"/>
              <w:numPr>
                <w:ilvl w:val="2"/>
                <w:numId w:val="105"/>
              </w:numPr>
              <w:tabs>
                <w:tab w:val="clear" w:pos="1440"/>
              </w:tabs>
              <w:spacing w:before="40" w:after="40"/>
              <w:ind w:left="882"/>
              <w:jc w:val="left"/>
              <w:rPr>
                <w:rFonts w:ascii="Arial" w:hAnsi="Arial" w:cs="Arial"/>
                <w:b/>
                <w:bCs/>
                <w:color w:val="000000"/>
                <w:sz w:val="18"/>
                <w:szCs w:val="18"/>
              </w:rPr>
            </w:pPr>
            <w:r w:rsidRPr="00637580">
              <w:rPr>
                <w:rFonts w:ascii="Arial" w:hAnsi="Arial" w:cs="Arial"/>
                <w:sz w:val="18"/>
                <w:szCs w:val="18"/>
              </w:rPr>
              <w:t>Store gift cards</w:t>
            </w:r>
            <w:r>
              <w:rPr>
                <w:rFonts w:ascii="Arial" w:hAnsi="Arial" w:cs="Arial"/>
                <w:sz w:val="18"/>
                <w:szCs w:val="18"/>
              </w:rPr>
              <w:t>:</w:t>
            </w:r>
            <w:r w:rsidRPr="00637580">
              <w:rPr>
                <w:rFonts w:ascii="Arial" w:hAnsi="Arial" w:cs="Arial"/>
                <w:sz w:val="18"/>
                <w:szCs w:val="18"/>
              </w:rPr>
              <w:t xml:space="preserve"> which may be increased or reloaded in exchange for payment and are redeemable upon presentation at a single merchant or an affiliated group of merchants for goods and services</w:t>
            </w:r>
            <w:r w:rsidR="00F52188">
              <w:rPr>
                <w:rFonts w:ascii="Arial" w:hAnsi="Arial" w:cs="Arial"/>
                <w:sz w:val="18"/>
                <w:szCs w:val="18"/>
              </w:rPr>
              <w:t>?</w:t>
            </w:r>
            <w:r w:rsidRPr="00637580">
              <w:rPr>
                <w:rFonts w:ascii="Arial" w:hAnsi="Arial" w:cs="Arial"/>
                <w:sz w:val="18"/>
                <w:szCs w:val="18"/>
              </w:rPr>
              <w:t xml:space="preserve">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1005.20(a)(2))</w:t>
            </w:r>
          </w:p>
        </w:tc>
        <w:tc>
          <w:tcPr>
            <w:tcW w:w="660" w:type="dxa"/>
          </w:tcPr>
          <w:p w14:paraId="69981D18" w14:textId="77777777" w:rsidR="003D07CA" w:rsidRPr="00637580" w:rsidRDefault="003D07CA" w:rsidP="003E1F68">
            <w:pPr>
              <w:spacing w:before="40" w:after="40"/>
              <w:jc w:val="center"/>
              <w:rPr>
                <w:rFonts w:ascii="Arial" w:hAnsi="Arial" w:cs="Arial"/>
                <w:sz w:val="18"/>
                <w:szCs w:val="18"/>
              </w:rPr>
            </w:pPr>
          </w:p>
        </w:tc>
        <w:tc>
          <w:tcPr>
            <w:tcW w:w="660" w:type="dxa"/>
          </w:tcPr>
          <w:p w14:paraId="69981D19" w14:textId="77777777" w:rsidR="003D07CA" w:rsidRPr="00637580" w:rsidRDefault="003D07CA" w:rsidP="003E1F68">
            <w:pPr>
              <w:spacing w:before="40" w:after="40"/>
              <w:jc w:val="center"/>
              <w:rPr>
                <w:rFonts w:ascii="Arial" w:hAnsi="Arial" w:cs="Arial"/>
                <w:sz w:val="18"/>
                <w:szCs w:val="18"/>
              </w:rPr>
            </w:pPr>
          </w:p>
        </w:tc>
        <w:tc>
          <w:tcPr>
            <w:tcW w:w="660" w:type="dxa"/>
          </w:tcPr>
          <w:p w14:paraId="69981D1A" w14:textId="77777777" w:rsidR="003D07CA" w:rsidRPr="00637580" w:rsidRDefault="003D07CA" w:rsidP="003E1F68">
            <w:pPr>
              <w:spacing w:before="40" w:after="40"/>
              <w:jc w:val="center"/>
              <w:rPr>
                <w:rFonts w:ascii="Arial" w:hAnsi="Arial" w:cs="Arial"/>
                <w:sz w:val="18"/>
                <w:szCs w:val="18"/>
              </w:rPr>
            </w:pPr>
          </w:p>
        </w:tc>
      </w:tr>
      <w:tr w:rsidR="003D07CA" w:rsidRPr="00637580" w14:paraId="69981D20" w14:textId="77777777" w:rsidTr="003E1F68">
        <w:tc>
          <w:tcPr>
            <w:tcW w:w="7020" w:type="dxa"/>
          </w:tcPr>
          <w:p w14:paraId="69981D1C" w14:textId="77777777" w:rsidR="003D07CA" w:rsidRPr="00637580" w:rsidRDefault="003D07CA" w:rsidP="00525B7F">
            <w:pPr>
              <w:pStyle w:val="Checklist1a"/>
              <w:numPr>
                <w:ilvl w:val="2"/>
                <w:numId w:val="105"/>
              </w:numPr>
              <w:tabs>
                <w:tab w:val="clear" w:pos="1440"/>
              </w:tabs>
              <w:spacing w:before="40" w:after="40"/>
              <w:ind w:left="882"/>
              <w:jc w:val="left"/>
              <w:rPr>
                <w:rFonts w:ascii="Arial" w:hAnsi="Arial" w:cs="Arial"/>
                <w:b/>
                <w:bCs/>
                <w:color w:val="000000"/>
                <w:sz w:val="18"/>
                <w:szCs w:val="18"/>
              </w:rPr>
            </w:pPr>
            <w:r w:rsidRPr="00637580">
              <w:rPr>
                <w:rFonts w:ascii="Arial" w:hAnsi="Arial" w:cs="Arial"/>
                <w:sz w:val="18"/>
                <w:szCs w:val="18"/>
              </w:rPr>
              <w:t>General-use prepaid cards</w:t>
            </w:r>
            <w:r>
              <w:rPr>
                <w:rFonts w:ascii="Arial" w:hAnsi="Arial" w:cs="Arial"/>
                <w:sz w:val="18"/>
                <w:szCs w:val="18"/>
              </w:rPr>
              <w:t>:</w:t>
            </w:r>
            <w:r w:rsidRPr="00637580">
              <w:rPr>
                <w:rFonts w:ascii="Arial" w:hAnsi="Arial" w:cs="Arial"/>
                <w:sz w:val="18"/>
                <w:szCs w:val="18"/>
              </w:rPr>
              <w:t xml:space="preserve"> which may be increased or reloaded in exchange for payment and are redeemable upon presentation at multiple, unaffiliated merchants for goods or services or useable at </w:t>
            </w:r>
            <w:r>
              <w:rPr>
                <w:rFonts w:ascii="Arial" w:hAnsi="Arial" w:cs="Arial"/>
                <w:sz w:val="18"/>
                <w:szCs w:val="18"/>
              </w:rPr>
              <w:t>ATM</w:t>
            </w:r>
            <w:r w:rsidRPr="00637580">
              <w:rPr>
                <w:rFonts w:ascii="Arial" w:hAnsi="Arial" w:cs="Arial"/>
                <w:sz w:val="18"/>
                <w:szCs w:val="18"/>
              </w:rPr>
              <w:t>s?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1005.20(a)(3))</w:t>
            </w:r>
          </w:p>
        </w:tc>
        <w:tc>
          <w:tcPr>
            <w:tcW w:w="660" w:type="dxa"/>
            <w:tcBorders>
              <w:bottom w:val="single" w:sz="4" w:space="0" w:color="auto"/>
            </w:tcBorders>
          </w:tcPr>
          <w:p w14:paraId="69981D1D"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1E"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1F" w14:textId="77777777" w:rsidR="003D07CA" w:rsidRPr="00637580" w:rsidRDefault="003D07CA" w:rsidP="003E1F68">
            <w:pPr>
              <w:spacing w:before="40" w:after="40"/>
              <w:jc w:val="center"/>
              <w:rPr>
                <w:rFonts w:ascii="Arial" w:hAnsi="Arial" w:cs="Arial"/>
                <w:sz w:val="18"/>
                <w:szCs w:val="18"/>
              </w:rPr>
            </w:pPr>
          </w:p>
        </w:tc>
      </w:tr>
      <w:tr w:rsidR="003D07CA" w:rsidRPr="00637580" w14:paraId="69981D25" w14:textId="77777777" w:rsidTr="003E1F68">
        <w:tc>
          <w:tcPr>
            <w:tcW w:w="7020" w:type="dxa"/>
          </w:tcPr>
          <w:p w14:paraId="69981D21" w14:textId="77777777" w:rsidR="003D07CA" w:rsidRPr="007C7C6F" w:rsidRDefault="003D07CA" w:rsidP="00525B7F">
            <w:pPr>
              <w:pStyle w:val="Checklist1"/>
              <w:numPr>
                <w:ilvl w:val="0"/>
                <w:numId w:val="94"/>
              </w:numPr>
              <w:spacing w:before="40" w:after="40"/>
              <w:ind w:left="522" w:hanging="522"/>
              <w:rPr>
                <w:rFonts w:ascii="Arial" w:hAnsi="Arial" w:cs="Arial"/>
                <w:sz w:val="18"/>
                <w:szCs w:val="18"/>
              </w:rPr>
            </w:pPr>
            <w:r w:rsidRPr="00637580">
              <w:rPr>
                <w:rFonts w:ascii="Arial" w:hAnsi="Arial" w:cs="Arial"/>
                <w:sz w:val="18"/>
                <w:szCs w:val="18"/>
              </w:rPr>
              <w:t>Do loyalty, award</w:t>
            </w:r>
            <w:r>
              <w:rPr>
                <w:rFonts w:ascii="Arial" w:hAnsi="Arial" w:cs="Arial"/>
                <w:sz w:val="18"/>
                <w:szCs w:val="18"/>
              </w:rPr>
              <w:t>,</w:t>
            </w:r>
            <w:r w:rsidRPr="00637580">
              <w:rPr>
                <w:rFonts w:ascii="Arial" w:hAnsi="Arial" w:cs="Arial"/>
                <w:sz w:val="18"/>
                <w:szCs w:val="18"/>
              </w:rPr>
              <w:t xml:space="preserve"> or promotional gift cards as defined by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007135E4">
              <w:rPr>
                <w:rFonts w:ascii="Arial" w:hAnsi="Arial" w:cs="Arial"/>
                <w:sz w:val="18"/>
                <w:szCs w:val="18"/>
              </w:rPr>
              <w:t>1005.20(a)</w:t>
            </w:r>
            <w:r w:rsidRPr="007C7C6F">
              <w:rPr>
                <w:rFonts w:ascii="Arial" w:hAnsi="Arial" w:cs="Arial"/>
                <w:sz w:val="18"/>
                <w:szCs w:val="18"/>
              </w:rPr>
              <w:t>(4)) contain the following disclosures</w:t>
            </w:r>
            <w:r>
              <w:rPr>
                <w:rFonts w:ascii="Arial" w:hAnsi="Arial" w:cs="Arial"/>
                <w:sz w:val="18"/>
                <w:szCs w:val="18"/>
              </w:rPr>
              <w:t>,</w:t>
            </w:r>
            <w:r w:rsidRPr="007C7C6F">
              <w:rPr>
                <w:rFonts w:ascii="Arial" w:hAnsi="Arial" w:cs="Arial"/>
                <w:sz w:val="18"/>
                <w:szCs w:val="18"/>
              </w:rPr>
              <w:t xml:space="preserve"> as applicable:</w:t>
            </w:r>
          </w:p>
        </w:tc>
        <w:tc>
          <w:tcPr>
            <w:tcW w:w="660" w:type="dxa"/>
            <w:shd w:val="clear" w:color="auto" w:fill="D9D9D9" w:themeFill="background1" w:themeFillShade="D9"/>
          </w:tcPr>
          <w:p w14:paraId="69981D22" w14:textId="77777777" w:rsidR="003D07CA" w:rsidRPr="007C7C6F"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23"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24" w14:textId="77777777" w:rsidR="003D07CA" w:rsidRPr="00637580" w:rsidRDefault="003D07CA" w:rsidP="003E1F68">
            <w:pPr>
              <w:spacing w:before="40" w:after="40"/>
              <w:jc w:val="center"/>
              <w:rPr>
                <w:rFonts w:ascii="Arial" w:hAnsi="Arial" w:cs="Arial"/>
                <w:sz w:val="18"/>
                <w:szCs w:val="18"/>
              </w:rPr>
            </w:pPr>
          </w:p>
        </w:tc>
      </w:tr>
      <w:tr w:rsidR="003D07CA" w:rsidRPr="00637580" w14:paraId="69981D2A" w14:textId="77777777" w:rsidTr="003E1F68">
        <w:tc>
          <w:tcPr>
            <w:tcW w:w="7020" w:type="dxa"/>
          </w:tcPr>
          <w:p w14:paraId="69981D26" w14:textId="77777777" w:rsidR="003D07CA" w:rsidRPr="007C7C6F" w:rsidRDefault="003D07CA" w:rsidP="00525B7F">
            <w:pPr>
              <w:pStyle w:val="Checklist1a"/>
              <w:numPr>
                <w:ilvl w:val="2"/>
                <w:numId w:val="106"/>
              </w:numPr>
              <w:tabs>
                <w:tab w:val="clear" w:pos="1440"/>
              </w:tabs>
              <w:spacing w:before="40" w:after="40"/>
              <w:ind w:left="882"/>
              <w:jc w:val="left"/>
              <w:rPr>
                <w:rFonts w:ascii="Arial" w:hAnsi="Arial" w:cs="Arial"/>
                <w:sz w:val="18"/>
                <w:szCs w:val="18"/>
              </w:rPr>
            </w:pPr>
            <w:r w:rsidRPr="00637580">
              <w:rPr>
                <w:rFonts w:ascii="Arial" w:hAnsi="Arial" w:cs="Arial"/>
                <w:sz w:val="18"/>
                <w:szCs w:val="18"/>
              </w:rPr>
              <w:t>A statement indicating that the card, code, or other device is issued for loyalty, award, or promotional purposes, which must be included on the front of the card, code, or other device?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1005.20(a)(4)(iii)(A))</w:t>
            </w:r>
          </w:p>
        </w:tc>
        <w:tc>
          <w:tcPr>
            <w:tcW w:w="660" w:type="dxa"/>
          </w:tcPr>
          <w:p w14:paraId="69981D27" w14:textId="77777777" w:rsidR="003D07CA" w:rsidRPr="00637580" w:rsidRDefault="003D07CA" w:rsidP="003E1F68">
            <w:pPr>
              <w:spacing w:before="40" w:after="40"/>
              <w:jc w:val="center"/>
              <w:rPr>
                <w:rFonts w:ascii="Arial" w:hAnsi="Arial" w:cs="Arial"/>
                <w:sz w:val="18"/>
                <w:szCs w:val="18"/>
              </w:rPr>
            </w:pPr>
          </w:p>
        </w:tc>
        <w:tc>
          <w:tcPr>
            <w:tcW w:w="660" w:type="dxa"/>
          </w:tcPr>
          <w:p w14:paraId="69981D28" w14:textId="77777777" w:rsidR="003D07CA" w:rsidRPr="00637580" w:rsidRDefault="003D07CA" w:rsidP="003E1F68">
            <w:pPr>
              <w:spacing w:before="40" w:after="40"/>
              <w:jc w:val="center"/>
              <w:rPr>
                <w:rFonts w:ascii="Arial" w:hAnsi="Arial" w:cs="Arial"/>
                <w:sz w:val="18"/>
                <w:szCs w:val="18"/>
              </w:rPr>
            </w:pPr>
          </w:p>
        </w:tc>
        <w:tc>
          <w:tcPr>
            <w:tcW w:w="660" w:type="dxa"/>
          </w:tcPr>
          <w:p w14:paraId="69981D29" w14:textId="77777777" w:rsidR="003D07CA" w:rsidRPr="00637580" w:rsidRDefault="003D07CA" w:rsidP="003E1F68">
            <w:pPr>
              <w:spacing w:before="40" w:after="40"/>
              <w:jc w:val="center"/>
              <w:rPr>
                <w:rFonts w:ascii="Arial" w:hAnsi="Arial" w:cs="Arial"/>
                <w:sz w:val="18"/>
                <w:szCs w:val="18"/>
              </w:rPr>
            </w:pPr>
          </w:p>
        </w:tc>
      </w:tr>
      <w:tr w:rsidR="003D07CA" w:rsidRPr="00637580" w14:paraId="69981D2F" w14:textId="77777777" w:rsidTr="003E1F68">
        <w:tc>
          <w:tcPr>
            <w:tcW w:w="7020" w:type="dxa"/>
          </w:tcPr>
          <w:p w14:paraId="69981D2B" w14:textId="77777777" w:rsidR="003D07CA" w:rsidRPr="007C7C6F" w:rsidRDefault="003D07CA" w:rsidP="00525B7F">
            <w:pPr>
              <w:pStyle w:val="Checklist1a"/>
              <w:numPr>
                <w:ilvl w:val="2"/>
                <w:numId w:val="106"/>
              </w:numPr>
              <w:tabs>
                <w:tab w:val="clear" w:pos="1440"/>
              </w:tabs>
              <w:spacing w:before="40" w:after="40"/>
              <w:ind w:left="882"/>
              <w:jc w:val="left"/>
              <w:rPr>
                <w:rFonts w:ascii="Arial" w:hAnsi="Arial" w:cs="Arial"/>
                <w:sz w:val="18"/>
                <w:szCs w:val="18"/>
              </w:rPr>
            </w:pPr>
            <w:r w:rsidRPr="00637580">
              <w:rPr>
                <w:rFonts w:ascii="Arial" w:hAnsi="Arial" w:cs="Arial"/>
                <w:sz w:val="18"/>
                <w:szCs w:val="18"/>
              </w:rPr>
              <w:t>The expiration date for the underlying funds, which must be included on the front of the card, code, or other device?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1005.20(a)(4)(iii)(B))</w:t>
            </w:r>
          </w:p>
        </w:tc>
        <w:tc>
          <w:tcPr>
            <w:tcW w:w="660" w:type="dxa"/>
          </w:tcPr>
          <w:p w14:paraId="69981D2C" w14:textId="77777777" w:rsidR="003D07CA" w:rsidRPr="00637580" w:rsidRDefault="003D07CA" w:rsidP="003E1F68">
            <w:pPr>
              <w:spacing w:before="40" w:after="40"/>
              <w:jc w:val="center"/>
              <w:rPr>
                <w:rFonts w:ascii="Arial" w:hAnsi="Arial" w:cs="Arial"/>
                <w:sz w:val="18"/>
                <w:szCs w:val="18"/>
              </w:rPr>
            </w:pPr>
          </w:p>
        </w:tc>
        <w:tc>
          <w:tcPr>
            <w:tcW w:w="660" w:type="dxa"/>
          </w:tcPr>
          <w:p w14:paraId="69981D2D" w14:textId="77777777" w:rsidR="003D07CA" w:rsidRPr="00637580" w:rsidRDefault="003D07CA" w:rsidP="003E1F68">
            <w:pPr>
              <w:spacing w:before="40" w:after="40"/>
              <w:jc w:val="center"/>
              <w:rPr>
                <w:rFonts w:ascii="Arial" w:hAnsi="Arial" w:cs="Arial"/>
                <w:sz w:val="18"/>
                <w:szCs w:val="18"/>
              </w:rPr>
            </w:pPr>
          </w:p>
        </w:tc>
        <w:tc>
          <w:tcPr>
            <w:tcW w:w="660" w:type="dxa"/>
          </w:tcPr>
          <w:p w14:paraId="69981D2E" w14:textId="77777777" w:rsidR="003D07CA" w:rsidRPr="00637580" w:rsidRDefault="003D07CA" w:rsidP="003E1F68">
            <w:pPr>
              <w:spacing w:before="40" w:after="40"/>
              <w:jc w:val="center"/>
              <w:rPr>
                <w:rFonts w:ascii="Arial" w:hAnsi="Arial" w:cs="Arial"/>
                <w:sz w:val="18"/>
                <w:szCs w:val="18"/>
              </w:rPr>
            </w:pPr>
          </w:p>
        </w:tc>
      </w:tr>
      <w:tr w:rsidR="003D07CA" w:rsidRPr="00637580" w14:paraId="69981D34" w14:textId="77777777" w:rsidTr="003E1F68">
        <w:tc>
          <w:tcPr>
            <w:tcW w:w="7020" w:type="dxa"/>
          </w:tcPr>
          <w:p w14:paraId="69981D30" w14:textId="77777777" w:rsidR="003D07CA" w:rsidRPr="00637580" w:rsidRDefault="003D07CA" w:rsidP="00525B7F">
            <w:pPr>
              <w:pStyle w:val="Checklist1a"/>
              <w:numPr>
                <w:ilvl w:val="2"/>
                <w:numId w:val="106"/>
              </w:numPr>
              <w:tabs>
                <w:tab w:val="clear" w:pos="1440"/>
              </w:tabs>
              <w:spacing w:before="40" w:after="40"/>
              <w:ind w:left="882"/>
              <w:jc w:val="left"/>
              <w:rPr>
                <w:rFonts w:ascii="Arial" w:hAnsi="Arial" w:cs="Arial"/>
                <w:sz w:val="18"/>
                <w:szCs w:val="18"/>
              </w:rPr>
            </w:pPr>
            <w:r w:rsidRPr="00637580">
              <w:rPr>
                <w:rFonts w:ascii="Arial" w:hAnsi="Arial" w:cs="Arial"/>
                <w:sz w:val="18"/>
                <w:szCs w:val="18"/>
              </w:rPr>
              <w:t xml:space="preserve">The amount of fees that </w:t>
            </w:r>
            <w:r w:rsidRPr="005C153B">
              <w:rPr>
                <w:rFonts w:ascii="Arial" w:hAnsi="Arial" w:cs="Arial"/>
                <w:sz w:val="18"/>
                <w:szCs w:val="18"/>
              </w:rPr>
              <w:t>may be imposed in connection with the card, code, or other device, and the conditions under which they may be imposed, which must be provided with the card, code, or other device? (12</w:t>
            </w:r>
            <w:r>
              <w:rPr>
                <w:rFonts w:ascii="Arial" w:hAnsi="Arial" w:cs="Arial"/>
                <w:sz w:val="18"/>
                <w:szCs w:val="18"/>
              </w:rPr>
              <w:t> </w:t>
            </w:r>
            <w:r w:rsidRPr="005C153B">
              <w:rPr>
                <w:rFonts w:ascii="Arial" w:hAnsi="Arial" w:cs="Arial"/>
                <w:sz w:val="18"/>
                <w:szCs w:val="18"/>
              </w:rPr>
              <w:t>CFR 1005.20(a)(4)(ii</w:t>
            </w:r>
            <w:r w:rsidRPr="00637580">
              <w:rPr>
                <w:rFonts w:ascii="Arial" w:hAnsi="Arial" w:cs="Arial"/>
                <w:sz w:val="18"/>
                <w:szCs w:val="18"/>
              </w:rPr>
              <w:t>i)(C))</w:t>
            </w:r>
          </w:p>
        </w:tc>
        <w:tc>
          <w:tcPr>
            <w:tcW w:w="660" w:type="dxa"/>
          </w:tcPr>
          <w:p w14:paraId="69981D31" w14:textId="77777777" w:rsidR="003D07CA" w:rsidRPr="00637580" w:rsidRDefault="003D07CA" w:rsidP="003E1F68">
            <w:pPr>
              <w:spacing w:before="40" w:after="40"/>
              <w:jc w:val="center"/>
              <w:rPr>
                <w:rFonts w:ascii="Arial" w:hAnsi="Arial" w:cs="Arial"/>
                <w:sz w:val="18"/>
                <w:szCs w:val="18"/>
              </w:rPr>
            </w:pPr>
          </w:p>
        </w:tc>
        <w:tc>
          <w:tcPr>
            <w:tcW w:w="660" w:type="dxa"/>
          </w:tcPr>
          <w:p w14:paraId="69981D32" w14:textId="77777777" w:rsidR="003D07CA" w:rsidRPr="00637580" w:rsidRDefault="003D07CA" w:rsidP="003E1F68">
            <w:pPr>
              <w:spacing w:before="40" w:after="40"/>
              <w:jc w:val="center"/>
              <w:rPr>
                <w:rFonts w:ascii="Arial" w:hAnsi="Arial" w:cs="Arial"/>
                <w:sz w:val="18"/>
                <w:szCs w:val="18"/>
              </w:rPr>
            </w:pPr>
          </w:p>
        </w:tc>
        <w:tc>
          <w:tcPr>
            <w:tcW w:w="660" w:type="dxa"/>
          </w:tcPr>
          <w:p w14:paraId="69981D33" w14:textId="77777777" w:rsidR="003D07CA" w:rsidRPr="00637580" w:rsidRDefault="003D07CA" w:rsidP="003E1F68">
            <w:pPr>
              <w:spacing w:before="40" w:after="40"/>
              <w:jc w:val="center"/>
              <w:rPr>
                <w:rFonts w:ascii="Arial" w:hAnsi="Arial" w:cs="Arial"/>
                <w:sz w:val="18"/>
                <w:szCs w:val="18"/>
              </w:rPr>
            </w:pPr>
          </w:p>
        </w:tc>
      </w:tr>
      <w:tr w:rsidR="003D07CA" w:rsidRPr="00637580" w14:paraId="69981D39" w14:textId="77777777" w:rsidTr="003E1F68">
        <w:tc>
          <w:tcPr>
            <w:tcW w:w="7020" w:type="dxa"/>
          </w:tcPr>
          <w:p w14:paraId="69981D35" w14:textId="77777777" w:rsidR="003D07CA" w:rsidRPr="007C7C6F" w:rsidRDefault="003D07CA" w:rsidP="00525B7F">
            <w:pPr>
              <w:pStyle w:val="Checklist1a"/>
              <w:numPr>
                <w:ilvl w:val="2"/>
                <w:numId w:val="106"/>
              </w:numPr>
              <w:tabs>
                <w:tab w:val="clear" w:pos="1440"/>
              </w:tabs>
              <w:spacing w:before="40" w:after="40"/>
              <w:ind w:left="882"/>
              <w:jc w:val="left"/>
              <w:rPr>
                <w:rFonts w:ascii="Arial" w:hAnsi="Arial" w:cs="Arial"/>
                <w:sz w:val="18"/>
                <w:szCs w:val="18"/>
              </w:rPr>
            </w:pPr>
            <w:r w:rsidRPr="00637580">
              <w:rPr>
                <w:rFonts w:ascii="Arial" w:hAnsi="Arial" w:cs="Arial"/>
                <w:sz w:val="18"/>
                <w:szCs w:val="18"/>
              </w:rPr>
              <w:t>A toll-free telephone number and, if one is maintained, a Web site, that a consumer may use to obtain fee information, which must be included on or with the card, code, or other device?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1005.20(a)(4)(iii)(D))</w:t>
            </w:r>
          </w:p>
        </w:tc>
        <w:tc>
          <w:tcPr>
            <w:tcW w:w="660" w:type="dxa"/>
            <w:tcBorders>
              <w:bottom w:val="single" w:sz="4" w:space="0" w:color="auto"/>
            </w:tcBorders>
          </w:tcPr>
          <w:p w14:paraId="69981D36"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37"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38" w14:textId="77777777" w:rsidR="003D07CA" w:rsidRPr="00637580" w:rsidRDefault="003D07CA" w:rsidP="003E1F68">
            <w:pPr>
              <w:spacing w:before="40" w:after="40"/>
              <w:jc w:val="center"/>
              <w:rPr>
                <w:rFonts w:ascii="Arial" w:hAnsi="Arial" w:cs="Arial"/>
                <w:sz w:val="18"/>
                <w:szCs w:val="18"/>
              </w:rPr>
            </w:pPr>
          </w:p>
        </w:tc>
      </w:tr>
    </w:tbl>
    <w:p w14:paraId="69981D3A" w14:textId="77777777" w:rsidR="003D07CA" w:rsidRPr="00637580" w:rsidRDefault="003D07CA" w:rsidP="003D07CA">
      <w:pPr>
        <w:rPr>
          <w:rFonts w:ascii="Arial" w:hAnsi="Arial" w:cs="Arial"/>
          <w:sz w:val="18"/>
          <w:szCs w:val="18"/>
        </w:rPr>
      </w:pPr>
      <w:r w:rsidRPr="00637580">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D3F" w14:textId="77777777" w:rsidTr="003E1F68">
        <w:tc>
          <w:tcPr>
            <w:tcW w:w="7020" w:type="dxa"/>
          </w:tcPr>
          <w:p w14:paraId="69981D3B"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shd w:val="clear" w:color="auto" w:fill="D9D9D9" w:themeFill="background1" w:themeFillShade="D9"/>
          </w:tcPr>
          <w:p w14:paraId="69981D3C"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shd w:val="clear" w:color="auto" w:fill="D9D9D9" w:themeFill="background1" w:themeFillShade="D9"/>
          </w:tcPr>
          <w:p w14:paraId="69981D3D"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60" w:type="dxa"/>
            <w:shd w:val="clear" w:color="auto" w:fill="D9D9D9" w:themeFill="background1" w:themeFillShade="D9"/>
          </w:tcPr>
          <w:p w14:paraId="69981D3E"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D44" w14:textId="77777777" w:rsidTr="003E1F68">
        <w:tc>
          <w:tcPr>
            <w:tcW w:w="7020" w:type="dxa"/>
          </w:tcPr>
          <w:p w14:paraId="69981D40" w14:textId="77777777" w:rsidR="003D07CA" w:rsidRPr="00A53316" w:rsidRDefault="003D07CA" w:rsidP="00525B7F">
            <w:pPr>
              <w:pStyle w:val="Checklist1"/>
              <w:numPr>
                <w:ilvl w:val="0"/>
                <w:numId w:val="94"/>
              </w:numPr>
              <w:spacing w:before="40" w:after="40"/>
              <w:ind w:left="522" w:hanging="540"/>
              <w:rPr>
                <w:rFonts w:ascii="Arial" w:hAnsi="Arial" w:cs="Arial"/>
                <w:sz w:val="18"/>
                <w:szCs w:val="18"/>
              </w:rPr>
            </w:pPr>
            <w:r w:rsidRPr="00A53316">
              <w:rPr>
                <w:rFonts w:ascii="Arial" w:hAnsi="Arial" w:cs="Arial"/>
                <w:sz w:val="18"/>
                <w:szCs w:val="18"/>
              </w:rPr>
              <w:t>If the terms of the gift certificate, store gift card, or general-use prepaid card impose a dormancy, inactivity, or service fee as defined under 12 CFR 1005.20(a),</w:t>
            </w:r>
          </w:p>
        </w:tc>
        <w:tc>
          <w:tcPr>
            <w:tcW w:w="660" w:type="dxa"/>
            <w:shd w:val="clear" w:color="auto" w:fill="D9D9D9" w:themeFill="background1" w:themeFillShade="D9"/>
          </w:tcPr>
          <w:p w14:paraId="69981D41" w14:textId="77777777" w:rsidR="003D07CA" w:rsidRPr="007C7C6F"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42"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43" w14:textId="77777777" w:rsidR="003D07CA" w:rsidRPr="00637580" w:rsidRDefault="003D07CA" w:rsidP="003E1F68">
            <w:pPr>
              <w:spacing w:before="40" w:after="40"/>
              <w:jc w:val="center"/>
              <w:rPr>
                <w:rFonts w:ascii="Arial" w:hAnsi="Arial" w:cs="Arial"/>
                <w:sz w:val="18"/>
                <w:szCs w:val="18"/>
              </w:rPr>
            </w:pPr>
          </w:p>
        </w:tc>
      </w:tr>
      <w:tr w:rsidR="003D07CA" w:rsidRPr="00637580" w14:paraId="69981D49" w14:textId="77777777" w:rsidTr="003E1F68">
        <w:tc>
          <w:tcPr>
            <w:tcW w:w="7020" w:type="dxa"/>
          </w:tcPr>
          <w:p w14:paraId="69981D45" w14:textId="77777777" w:rsidR="003D07CA" w:rsidRPr="00A53316" w:rsidRDefault="00F52188" w:rsidP="00525B7F">
            <w:pPr>
              <w:pStyle w:val="Checklist1a"/>
              <w:numPr>
                <w:ilvl w:val="0"/>
                <w:numId w:val="107"/>
              </w:numPr>
              <w:spacing w:before="40" w:after="40"/>
              <w:ind w:left="882"/>
              <w:jc w:val="left"/>
              <w:rPr>
                <w:rFonts w:ascii="Arial" w:hAnsi="Arial" w:cs="Arial"/>
                <w:b/>
                <w:bCs/>
                <w:color w:val="000000"/>
                <w:sz w:val="18"/>
                <w:szCs w:val="18"/>
              </w:rPr>
            </w:pPr>
            <w:r>
              <w:rPr>
                <w:rFonts w:ascii="Arial" w:hAnsi="Arial" w:cs="Arial"/>
                <w:sz w:val="18"/>
                <w:szCs w:val="18"/>
              </w:rPr>
              <w:t>d</w:t>
            </w:r>
            <w:r w:rsidR="00A53316" w:rsidRPr="00A53316">
              <w:rPr>
                <w:rFonts w:ascii="Arial" w:hAnsi="Arial" w:cs="Arial"/>
                <w:sz w:val="18"/>
                <w:szCs w:val="18"/>
              </w:rPr>
              <w:t>oes the financial institution decline to impose any dormancy, inactivity, or service fee if there has been activity with respect to the certificate or card</w:t>
            </w:r>
            <w:r>
              <w:rPr>
                <w:rFonts w:ascii="Arial" w:hAnsi="Arial" w:cs="Arial"/>
                <w:sz w:val="18"/>
                <w:szCs w:val="18"/>
              </w:rPr>
              <w:t xml:space="preserve">? </w:t>
            </w:r>
            <w:r w:rsidR="00A53316" w:rsidRPr="00A53316">
              <w:rPr>
                <w:rFonts w:ascii="Arial" w:hAnsi="Arial" w:cs="Arial"/>
                <w:sz w:val="18"/>
                <w:szCs w:val="18"/>
              </w:rPr>
              <w:t>(12 CFR</w:t>
            </w:r>
            <w:r w:rsidR="00CD5C0B">
              <w:rPr>
                <w:rFonts w:ascii="Arial" w:hAnsi="Arial" w:cs="Arial"/>
                <w:sz w:val="18"/>
                <w:szCs w:val="18"/>
              </w:rPr>
              <w:t xml:space="preserve"> </w:t>
            </w:r>
            <w:r w:rsidR="00A53316" w:rsidRPr="00A53316">
              <w:rPr>
                <w:rFonts w:ascii="Arial" w:hAnsi="Arial" w:cs="Arial"/>
                <w:sz w:val="18"/>
                <w:szCs w:val="18"/>
              </w:rPr>
              <w:t>1005.20(d)(1))</w:t>
            </w:r>
          </w:p>
        </w:tc>
        <w:tc>
          <w:tcPr>
            <w:tcW w:w="660" w:type="dxa"/>
          </w:tcPr>
          <w:p w14:paraId="69981D46" w14:textId="77777777" w:rsidR="003D07CA" w:rsidRPr="007C7C6F" w:rsidRDefault="003D07CA" w:rsidP="003E1F68">
            <w:pPr>
              <w:spacing w:before="40" w:after="40"/>
              <w:jc w:val="center"/>
              <w:rPr>
                <w:rFonts w:ascii="Arial" w:hAnsi="Arial" w:cs="Arial"/>
                <w:sz w:val="18"/>
                <w:szCs w:val="18"/>
              </w:rPr>
            </w:pPr>
          </w:p>
        </w:tc>
        <w:tc>
          <w:tcPr>
            <w:tcW w:w="660" w:type="dxa"/>
          </w:tcPr>
          <w:p w14:paraId="69981D47" w14:textId="77777777" w:rsidR="003D07CA" w:rsidRPr="00637580" w:rsidRDefault="003D07CA" w:rsidP="003E1F68">
            <w:pPr>
              <w:spacing w:before="40" w:after="40"/>
              <w:jc w:val="center"/>
              <w:rPr>
                <w:rFonts w:ascii="Arial" w:hAnsi="Arial" w:cs="Arial"/>
                <w:sz w:val="18"/>
                <w:szCs w:val="18"/>
              </w:rPr>
            </w:pPr>
          </w:p>
        </w:tc>
        <w:tc>
          <w:tcPr>
            <w:tcW w:w="660" w:type="dxa"/>
          </w:tcPr>
          <w:p w14:paraId="69981D48" w14:textId="77777777" w:rsidR="003D07CA" w:rsidRPr="00637580" w:rsidRDefault="003D07CA" w:rsidP="003E1F68">
            <w:pPr>
              <w:spacing w:before="40" w:after="40"/>
              <w:jc w:val="center"/>
              <w:rPr>
                <w:rFonts w:ascii="Arial" w:hAnsi="Arial" w:cs="Arial"/>
                <w:sz w:val="18"/>
                <w:szCs w:val="18"/>
              </w:rPr>
            </w:pPr>
          </w:p>
        </w:tc>
      </w:tr>
      <w:tr w:rsidR="003D07CA" w:rsidRPr="00637580" w14:paraId="69981D4E" w14:textId="77777777" w:rsidTr="003E1F68">
        <w:tc>
          <w:tcPr>
            <w:tcW w:w="7020" w:type="dxa"/>
          </w:tcPr>
          <w:p w14:paraId="69981D4A" w14:textId="77777777" w:rsidR="003D07CA" w:rsidRPr="00A53316" w:rsidRDefault="00F52188" w:rsidP="00525B7F">
            <w:pPr>
              <w:pStyle w:val="Checklist1a"/>
              <w:numPr>
                <w:ilvl w:val="0"/>
                <w:numId w:val="107"/>
              </w:numPr>
              <w:spacing w:before="40" w:after="40"/>
              <w:ind w:left="882"/>
              <w:jc w:val="left"/>
              <w:rPr>
                <w:rFonts w:ascii="Arial" w:hAnsi="Arial" w:cs="Arial"/>
                <w:sz w:val="18"/>
                <w:szCs w:val="18"/>
              </w:rPr>
            </w:pPr>
            <w:r>
              <w:rPr>
                <w:rFonts w:ascii="Arial" w:hAnsi="Arial" w:cs="Arial"/>
                <w:sz w:val="18"/>
                <w:szCs w:val="18"/>
              </w:rPr>
              <w:t>a</w:t>
            </w:r>
            <w:r w:rsidR="003D07CA" w:rsidRPr="00A53316">
              <w:rPr>
                <w:rFonts w:ascii="Arial" w:hAnsi="Arial" w:cs="Arial"/>
                <w:sz w:val="18"/>
                <w:szCs w:val="18"/>
              </w:rPr>
              <w:t>s applicable, are the following, clearly and conspicuously stated on the gift certificate, store gift card, or general-use prepaid card:</w:t>
            </w:r>
          </w:p>
        </w:tc>
        <w:tc>
          <w:tcPr>
            <w:tcW w:w="660" w:type="dxa"/>
          </w:tcPr>
          <w:p w14:paraId="69981D4B" w14:textId="77777777" w:rsidR="003D07CA" w:rsidRPr="00637580" w:rsidRDefault="003D07CA" w:rsidP="003E1F68">
            <w:pPr>
              <w:spacing w:before="40" w:after="40"/>
              <w:jc w:val="center"/>
              <w:rPr>
                <w:rFonts w:ascii="Arial" w:hAnsi="Arial" w:cs="Arial"/>
                <w:sz w:val="18"/>
                <w:szCs w:val="18"/>
              </w:rPr>
            </w:pPr>
          </w:p>
        </w:tc>
        <w:tc>
          <w:tcPr>
            <w:tcW w:w="660" w:type="dxa"/>
          </w:tcPr>
          <w:p w14:paraId="69981D4C" w14:textId="77777777" w:rsidR="003D07CA" w:rsidRPr="00637580" w:rsidRDefault="003D07CA" w:rsidP="003E1F68">
            <w:pPr>
              <w:spacing w:before="40" w:after="40"/>
              <w:jc w:val="center"/>
              <w:rPr>
                <w:rFonts w:ascii="Arial" w:hAnsi="Arial" w:cs="Arial"/>
                <w:sz w:val="18"/>
                <w:szCs w:val="18"/>
              </w:rPr>
            </w:pPr>
          </w:p>
        </w:tc>
        <w:tc>
          <w:tcPr>
            <w:tcW w:w="660" w:type="dxa"/>
          </w:tcPr>
          <w:p w14:paraId="69981D4D" w14:textId="77777777" w:rsidR="003D07CA" w:rsidRPr="00637580" w:rsidRDefault="003D07CA" w:rsidP="003E1F68">
            <w:pPr>
              <w:spacing w:before="40" w:after="40"/>
              <w:jc w:val="center"/>
              <w:rPr>
                <w:rFonts w:ascii="Arial" w:hAnsi="Arial" w:cs="Arial"/>
                <w:sz w:val="18"/>
                <w:szCs w:val="18"/>
              </w:rPr>
            </w:pPr>
          </w:p>
        </w:tc>
      </w:tr>
      <w:tr w:rsidR="003D07CA" w:rsidRPr="00637580" w14:paraId="69981D53" w14:textId="77777777" w:rsidTr="003E1F68">
        <w:tc>
          <w:tcPr>
            <w:tcW w:w="7020" w:type="dxa"/>
          </w:tcPr>
          <w:p w14:paraId="69981D4F" w14:textId="77777777" w:rsidR="003D07CA" w:rsidRPr="00A53316" w:rsidRDefault="003D07CA" w:rsidP="00525B7F">
            <w:pPr>
              <w:pStyle w:val="Checklist1"/>
              <w:numPr>
                <w:ilvl w:val="0"/>
                <w:numId w:val="95"/>
              </w:numPr>
              <w:tabs>
                <w:tab w:val="clear" w:pos="720"/>
                <w:tab w:val="num" w:pos="1242"/>
              </w:tabs>
              <w:spacing w:before="40" w:after="40"/>
              <w:ind w:left="1242"/>
              <w:rPr>
                <w:rFonts w:ascii="Arial" w:hAnsi="Arial" w:cs="Arial"/>
                <w:sz w:val="18"/>
                <w:szCs w:val="18"/>
              </w:rPr>
            </w:pPr>
            <w:r w:rsidRPr="00A53316">
              <w:rPr>
                <w:rFonts w:ascii="Arial" w:hAnsi="Arial" w:cs="Arial"/>
                <w:sz w:val="18"/>
                <w:szCs w:val="18"/>
              </w:rPr>
              <w:t>The amount of any dormancy, inactivity, or service fee that may be charged; (12 CFR 1005.20(d)(2)(i))</w:t>
            </w:r>
          </w:p>
        </w:tc>
        <w:tc>
          <w:tcPr>
            <w:tcW w:w="660" w:type="dxa"/>
          </w:tcPr>
          <w:p w14:paraId="69981D50" w14:textId="77777777" w:rsidR="003D07CA" w:rsidRPr="00637580" w:rsidRDefault="003D07CA" w:rsidP="003E1F68">
            <w:pPr>
              <w:spacing w:before="40" w:after="40"/>
              <w:jc w:val="center"/>
              <w:rPr>
                <w:rFonts w:ascii="Arial" w:hAnsi="Arial" w:cs="Arial"/>
                <w:sz w:val="18"/>
                <w:szCs w:val="18"/>
              </w:rPr>
            </w:pPr>
          </w:p>
        </w:tc>
        <w:tc>
          <w:tcPr>
            <w:tcW w:w="660" w:type="dxa"/>
          </w:tcPr>
          <w:p w14:paraId="69981D51" w14:textId="77777777" w:rsidR="003D07CA" w:rsidRPr="00637580" w:rsidRDefault="003D07CA" w:rsidP="003E1F68">
            <w:pPr>
              <w:spacing w:before="40" w:after="40"/>
              <w:jc w:val="center"/>
              <w:rPr>
                <w:rFonts w:ascii="Arial" w:hAnsi="Arial" w:cs="Arial"/>
                <w:sz w:val="18"/>
                <w:szCs w:val="18"/>
              </w:rPr>
            </w:pPr>
          </w:p>
        </w:tc>
        <w:tc>
          <w:tcPr>
            <w:tcW w:w="660" w:type="dxa"/>
          </w:tcPr>
          <w:p w14:paraId="69981D52" w14:textId="77777777" w:rsidR="003D07CA" w:rsidRPr="00637580" w:rsidRDefault="003D07CA" w:rsidP="003E1F68">
            <w:pPr>
              <w:spacing w:before="40" w:after="40"/>
              <w:jc w:val="center"/>
              <w:rPr>
                <w:rFonts w:ascii="Arial" w:hAnsi="Arial" w:cs="Arial"/>
                <w:sz w:val="18"/>
                <w:szCs w:val="18"/>
              </w:rPr>
            </w:pPr>
          </w:p>
        </w:tc>
      </w:tr>
      <w:tr w:rsidR="003D07CA" w:rsidRPr="00637580" w14:paraId="69981D58" w14:textId="77777777" w:rsidTr="003E1F68">
        <w:tc>
          <w:tcPr>
            <w:tcW w:w="7020" w:type="dxa"/>
          </w:tcPr>
          <w:p w14:paraId="69981D54" w14:textId="77777777" w:rsidR="003D07CA" w:rsidRPr="00A53316" w:rsidRDefault="003D07CA" w:rsidP="00525B7F">
            <w:pPr>
              <w:pStyle w:val="Checklist1"/>
              <w:numPr>
                <w:ilvl w:val="0"/>
                <w:numId w:val="95"/>
              </w:numPr>
              <w:tabs>
                <w:tab w:val="clear" w:pos="720"/>
                <w:tab w:val="num" w:pos="1242"/>
              </w:tabs>
              <w:spacing w:before="40" w:after="40"/>
              <w:ind w:left="1242"/>
              <w:rPr>
                <w:rFonts w:ascii="Arial" w:hAnsi="Arial" w:cs="Arial"/>
                <w:b/>
                <w:bCs/>
                <w:color w:val="000000"/>
                <w:sz w:val="18"/>
                <w:szCs w:val="18"/>
              </w:rPr>
            </w:pPr>
            <w:r w:rsidRPr="00A53316">
              <w:rPr>
                <w:rFonts w:ascii="Arial" w:hAnsi="Arial" w:cs="Arial"/>
                <w:sz w:val="18"/>
                <w:szCs w:val="18"/>
              </w:rPr>
              <w:t>How often such a fee may be assessed; and (12 CFR 1005.20(d)(2)(ii))</w:t>
            </w:r>
          </w:p>
        </w:tc>
        <w:tc>
          <w:tcPr>
            <w:tcW w:w="660" w:type="dxa"/>
          </w:tcPr>
          <w:p w14:paraId="69981D55" w14:textId="77777777" w:rsidR="003D07CA" w:rsidRPr="007C7C6F" w:rsidRDefault="003D07CA" w:rsidP="003E1F68">
            <w:pPr>
              <w:spacing w:before="40" w:after="40"/>
              <w:jc w:val="center"/>
              <w:rPr>
                <w:rFonts w:ascii="Arial" w:hAnsi="Arial" w:cs="Arial"/>
                <w:sz w:val="18"/>
                <w:szCs w:val="18"/>
              </w:rPr>
            </w:pPr>
          </w:p>
        </w:tc>
        <w:tc>
          <w:tcPr>
            <w:tcW w:w="660" w:type="dxa"/>
          </w:tcPr>
          <w:p w14:paraId="69981D56" w14:textId="77777777" w:rsidR="003D07CA" w:rsidRPr="00637580" w:rsidRDefault="003D07CA" w:rsidP="003E1F68">
            <w:pPr>
              <w:spacing w:before="40" w:after="40"/>
              <w:jc w:val="center"/>
              <w:rPr>
                <w:rFonts w:ascii="Arial" w:hAnsi="Arial" w:cs="Arial"/>
                <w:sz w:val="18"/>
                <w:szCs w:val="18"/>
              </w:rPr>
            </w:pPr>
          </w:p>
        </w:tc>
        <w:tc>
          <w:tcPr>
            <w:tcW w:w="660" w:type="dxa"/>
          </w:tcPr>
          <w:p w14:paraId="69981D57" w14:textId="77777777" w:rsidR="003D07CA" w:rsidRPr="00637580" w:rsidRDefault="003D07CA" w:rsidP="003E1F68">
            <w:pPr>
              <w:spacing w:before="40" w:after="40"/>
              <w:jc w:val="center"/>
              <w:rPr>
                <w:rFonts w:ascii="Arial" w:hAnsi="Arial" w:cs="Arial"/>
                <w:sz w:val="18"/>
                <w:szCs w:val="18"/>
              </w:rPr>
            </w:pPr>
          </w:p>
        </w:tc>
      </w:tr>
      <w:tr w:rsidR="003D07CA" w:rsidRPr="00637580" w14:paraId="69981D5D" w14:textId="77777777" w:rsidTr="003E1F68">
        <w:tc>
          <w:tcPr>
            <w:tcW w:w="7020" w:type="dxa"/>
          </w:tcPr>
          <w:p w14:paraId="69981D59" w14:textId="77777777" w:rsidR="003D07CA" w:rsidRPr="00A53316" w:rsidRDefault="003D07CA" w:rsidP="00525B7F">
            <w:pPr>
              <w:pStyle w:val="Checklist1"/>
              <w:numPr>
                <w:ilvl w:val="0"/>
                <w:numId w:val="95"/>
              </w:numPr>
              <w:tabs>
                <w:tab w:val="clear" w:pos="720"/>
                <w:tab w:val="num" w:pos="1242"/>
              </w:tabs>
              <w:spacing w:before="40" w:after="40"/>
              <w:ind w:left="1242"/>
              <w:rPr>
                <w:rFonts w:ascii="Arial" w:hAnsi="Arial" w:cs="Arial"/>
                <w:sz w:val="18"/>
                <w:szCs w:val="18"/>
              </w:rPr>
            </w:pPr>
            <w:r w:rsidRPr="00A53316">
              <w:rPr>
                <w:rFonts w:ascii="Arial" w:hAnsi="Arial" w:cs="Arial"/>
                <w:sz w:val="18"/>
                <w:szCs w:val="18"/>
              </w:rPr>
              <w:t>That such fee may be assessed for inactivity. (12 CFR 1005.20(d)(2)(iii))</w:t>
            </w:r>
          </w:p>
        </w:tc>
        <w:tc>
          <w:tcPr>
            <w:tcW w:w="660" w:type="dxa"/>
          </w:tcPr>
          <w:p w14:paraId="69981D5A" w14:textId="77777777" w:rsidR="003D07CA" w:rsidRPr="00637580" w:rsidRDefault="003D07CA" w:rsidP="003E1F68">
            <w:pPr>
              <w:spacing w:before="40" w:after="40"/>
              <w:jc w:val="center"/>
              <w:rPr>
                <w:rFonts w:ascii="Arial" w:hAnsi="Arial" w:cs="Arial"/>
                <w:sz w:val="18"/>
                <w:szCs w:val="18"/>
              </w:rPr>
            </w:pPr>
          </w:p>
        </w:tc>
        <w:tc>
          <w:tcPr>
            <w:tcW w:w="660" w:type="dxa"/>
          </w:tcPr>
          <w:p w14:paraId="69981D5B" w14:textId="77777777" w:rsidR="003D07CA" w:rsidRPr="00637580" w:rsidRDefault="003D07CA" w:rsidP="003E1F68">
            <w:pPr>
              <w:spacing w:before="40" w:after="40"/>
              <w:jc w:val="center"/>
              <w:rPr>
                <w:rFonts w:ascii="Arial" w:hAnsi="Arial" w:cs="Arial"/>
                <w:sz w:val="18"/>
                <w:szCs w:val="18"/>
              </w:rPr>
            </w:pPr>
          </w:p>
        </w:tc>
        <w:tc>
          <w:tcPr>
            <w:tcW w:w="660" w:type="dxa"/>
          </w:tcPr>
          <w:p w14:paraId="69981D5C" w14:textId="77777777" w:rsidR="003D07CA" w:rsidRPr="00637580" w:rsidRDefault="003D07CA" w:rsidP="003E1F68">
            <w:pPr>
              <w:spacing w:before="40" w:after="40"/>
              <w:jc w:val="center"/>
              <w:rPr>
                <w:rFonts w:ascii="Arial" w:hAnsi="Arial" w:cs="Arial"/>
                <w:sz w:val="18"/>
                <w:szCs w:val="18"/>
              </w:rPr>
            </w:pPr>
          </w:p>
        </w:tc>
      </w:tr>
      <w:tr w:rsidR="003D07CA" w:rsidRPr="00637580" w14:paraId="69981D62" w14:textId="77777777" w:rsidTr="003E1F68">
        <w:tc>
          <w:tcPr>
            <w:tcW w:w="7020" w:type="dxa"/>
          </w:tcPr>
          <w:p w14:paraId="69981D5E" w14:textId="77777777" w:rsidR="003D07CA" w:rsidRPr="00A53316" w:rsidRDefault="003D07CA" w:rsidP="00525B7F">
            <w:pPr>
              <w:pStyle w:val="Checklist1"/>
              <w:numPr>
                <w:ilvl w:val="0"/>
                <w:numId w:val="108"/>
              </w:numPr>
              <w:spacing w:before="40" w:after="40"/>
              <w:ind w:left="882"/>
              <w:rPr>
                <w:rFonts w:ascii="Arial" w:hAnsi="Arial" w:cs="Arial"/>
                <w:sz w:val="18"/>
                <w:szCs w:val="18"/>
              </w:rPr>
            </w:pPr>
            <w:r w:rsidRPr="00A53316">
              <w:rPr>
                <w:rFonts w:ascii="Arial" w:hAnsi="Arial" w:cs="Arial"/>
                <w:sz w:val="18"/>
                <w:szCs w:val="18"/>
              </w:rPr>
              <w:t>Is the dormancy, inactivity, or service fee imposed limited to one in any given cal</w:t>
            </w:r>
            <w:r w:rsidR="007135E4">
              <w:rPr>
                <w:rFonts w:ascii="Arial" w:hAnsi="Arial" w:cs="Arial"/>
                <w:sz w:val="18"/>
                <w:szCs w:val="18"/>
              </w:rPr>
              <w:t>endar month? (12 CFR 1005.20(d)</w:t>
            </w:r>
            <w:r w:rsidRPr="00A53316">
              <w:rPr>
                <w:rFonts w:ascii="Arial" w:hAnsi="Arial" w:cs="Arial"/>
                <w:sz w:val="18"/>
                <w:szCs w:val="18"/>
              </w:rPr>
              <w:t>(3))</w:t>
            </w:r>
          </w:p>
        </w:tc>
        <w:tc>
          <w:tcPr>
            <w:tcW w:w="660" w:type="dxa"/>
            <w:tcBorders>
              <w:bottom w:val="single" w:sz="4" w:space="0" w:color="auto"/>
            </w:tcBorders>
          </w:tcPr>
          <w:p w14:paraId="69981D5F" w14:textId="77777777" w:rsidR="003D07CA" w:rsidRPr="007C7C6F" w:rsidRDefault="003D07CA" w:rsidP="003E1F68">
            <w:pPr>
              <w:tabs>
                <w:tab w:val="num" w:pos="882"/>
              </w:tabs>
              <w:spacing w:before="40" w:after="40"/>
              <w:ind w:left="882" w:hanging="360"/>
              <w:jc w:val="center"/>
              <w:rPr>
                <w:rFonts w:ascii="Arial" w:hAnsi="Arial" w:cs="Arial"/>
                <w:sz w:val="18"/>
                <w:szCs w:val="18"/>
              </w:rPr>
            </w:pPr>
          </w:p>
        </w:tc>
        <w:tc>
          <w:tcPr>
            <w:tcW w:w="660" w:type="dxa"/>
            <w:tcBorders>
              <w:bottom w:val="single" w:sz="4" w:space="0" w:color="auto"/>
            </w:tcBorders>
          </w:tcPr>
          <w:p w14:paraId="69981D60" w14:textId="77777777" w:rsidR="003D07CA" w:rsidRPr="00637580" w:rsidRDefault="003D07CA" w:rsidP="003E1F68">
            <w:pPr>
              <w:tabs>
                <w:tab w:val="num" w:pos="882"/>
              </w:tabs>
              <w:spacing w:before="40" w:after="40"/>
              <w:ind w:left="882" w:hanging="360"/>
              <w:jc w:val="center"/>
              <w:rPr>
                <w:rFonts w:ascii="Arial" w:hAnsi="Arial" w:cs="Arial"/>
                <w:sz w:val="18"/>
                <w:szCs w:val="18"/>
              </w:rPr>
            </w:pPr>
          </w:p>
        </w:tc>
        <w:tc>
          <w:tcPr>
            <w:tcW w:w="660" w:type="dxa"/>
            <w:tcBorders>
              <w:bottom w:val="single" w:sz="4" w:space="0" w:color="auto"/>
            </w:tcBorders>
          </w:tcPr>
          <w:p w14:paraId="69981D61" w14:textId="77777777" w:rsidR="003D07CA" w:rsidRPr="00637580" w:rsidRDefault="003D07CA" w:rsidP="003E1F68">
            <w:pPr>
              <w:tabs>
                <w:tab w:val="num" w:pos="882"/>
              </w:tabs>
              <w:spacing w:before="40" w:after="40"/>
              <w:ind w:left="882" w:hanging="360"/>
              <w:jc w:val="center"/>
              <w:rPr>
                <w:rFonts w:ascii="Arial" w:hAnsi="Arial" w:cs="Arial"/>
                <w:sz w:val="18"/>
                <w:szCs w:val="18"/>
              </w:rPr>
            </w:pPr>
          </w:p>
        </w:tc>
      </w:tr>
      <w:tr w:rsidR="003D07CA" w:rsidRPr="00637580" w14:paraId="69981D67" w14:textId="77777777" w:rsidTr="003E1F68">
        <w:tc>
          <w:tcPr>
            <w:tcW w:w="7020" w:type="dxa"/>
          </w:tcPr>
          <w:p w14:paraId="69981D63" w14:textId="77777777" w:rsidR="003D07CA" w:rsidRPr="00637580" w:rsidRDefault="003D07CA" w:rsidP="00525B7F">
            <w:pPr>
              <w:pStyle w:val="Checklist1"/>
              <w:numPr>
                <w:ilvl w:val="0"/>
                <w:numId w:val="94"/>
              </w:numPr>
              <w:spacing w:before="40" w:after="40"/>
              <w:ind w:left="522" w:hanging="522"/>
              <w:rPr>
                <w:rFonts w:ascii="Arial" w:hAnsi="Arial" w:cs="Arial"/>
                <w:sz w:val="18"/>
                <w:szCs w:val="18"/>
              </w:rPr>
            </w:pPr>
            <w:r w:rsidRPr="007C7C6F">
              <w:rPr>
                <w:rFonts w:ascii="Arial" w:hAnsi="Arial" w:cs="Arial"/>
                <w:sz w:val="18"/>
                <w:szCs w:val="18"/>
              </w:rPr>
              <w:t>If the financial institution sells or issues a gift certificate, store gift card, or general-use prepaid card with an expirati</w:t>
            </w:r>
            <w:r w:rsidRPr="00637580">
              <w:rPr>
                <w:rFonts w:ascii="Arial" w:hAnsi="Arial" w:cs="Arial"/>
                <w:sz w:val="18"/>
                <w:szCs w:val="18"/>
              </w:rPr>
              <w:t>on date</w:t>
            </w:r>
            <w:r w:rsidR="00F52188">
              <w:rPr>
                <w:rFonts w:ascii="Arial" w:hAnsi="Arial" w:cs="Arial"/>
                <w:sz w:val="18"/>
                <w:szCs w:val="18"/>
              </w:rPr>
              <w:t>,</w:t>
            </w:r>
          </w:p>
        </w:tc>
        <w:tc>
          <w:tcPr>
            <w:tcW w:w="660" w:type="dxa"/>
            <w:shd w:val="clear" w:color="auto" w:fill="D9D9D9" w:themeFill="background1" w:themeFillShade="D9"/>
          </w:tcPr>
          <w:p w14:paraId="69981D64"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65"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66" w14:textId="77777777" w:rsidR="003D07CA" w:rsidRPr="00637580" w:rsidRDefault="003D07CA" w:rsidP="003E1F68">
            <w:pPr>
              <w:spacing w:before="40" w:after="40"/>
              <w:jc w:val="center"/>
              <w:rPr>
                <w:rFonts w:ascii="Arial" w:hAnsi="Arial" w:cs="Arial"/>
                <w:sz w:val="18"/>
                <w:szCs w:val="18"/>
              </w:rPr>
            </w:pPr>
          </w:p>
        </w:tc>
      </w:tr>
      <w:tr w:rsidR="003D07CA" w:rsidRPr="00637580" w14:paraId="69981D6C" w14:textId="77777777" w:rsidTr="003E1F68">
        <w:tc>
          <w:tcPr>
            <w:tcW w:w="7020" w:type="dxa"/>
          </w:tcPr>
          <w:p w14:paraId="69981D68" w14:textId="77777777" w:rsidR="003D07CA" w:rsidRPr="00637580" w:rsidRDefault="00F52188" w:rsidP="00525B7F">
            <w:pPr>
              <w:pStyle w:val="Checklist1"/>
              <w:numPr>
                <w:ilvl w:val="0"/>
                <w:numId w:val="108"/>
              </w:numPr>
              <w:spacing w:before="40" w:after="40"/>
              <w:ind w:left="882"/>
              <w:rPr>
                <w:rFonts w:ascii="Arial" w:hAnsi="Arial" w:cs="Arial"/>
                <w:sz w:val="18"/>
                <w:szCs w:val="18"/>
              </w:rPr>
            </w:pPr>
            <w:r>
              <w:rPr>
                <w:rFonts w:ascii="Arial" w:hAnsi="Arial" w:cs="Arial"/>
                <w:sz w:val="18"/>
                <w:szCs w:val="18"/>
              </w:rPr>
              <w:t>h</w:t>
            </w:r>
            <w:r w:rsidR="003D07CA" w:rsidRPr="00637580">
              <w:rPr>
                <w:rFonts w:ascii="Arial" w:hAnsi="Arial" w:cs="Arial"/>
                <w:sz w:val="18"/>
                <w:szCs w:val="18"/>
              </w:rPr>
              <w:t>as the financial institution established policies and procedures to provide consumers with a reasonable opportunity to purchase a certificate or card with at least five years remaining until the certificate or card expiration date</w:t>
            </w:r>
            <w:r w:rsidR="00C63836">
              <w:rPr>
                <w:rFonts w:ascii="Arial" w:hAnsi="Arial" w:cs="Arial"/>
                <w:sz w:val="18"/>
                <w:szCs w:val="18"/>
              </w:rPr>
              <w:t>?</w:t>
            </w:r>
            <w:r w:rsidR="003D07CA" w:rsidRPr="00637580">
              <w:rPr>
                <w:rFonts w:ascii="Arial" w:hAnsi="Arial" w:cs="Arial"/>
                <w:sz w:val="18"/>
                <w:szCs w:val="18"/>
              </w:rPr>
              <w:t xml:space="preserve"> (12 CFR 1005.20(e)(1))</w:t>
            </w:r>
          </w:p>
        </w:tc>
        <w:tc>
          <w:tcPr>
            <w:tcW w:w="660" w:type="dxa"/>
          </w:tcPr>
          <w:p w14:paraId="69981D69" w14:textId="77777777" w:rsidR="003D07CA" w:rsidRPr="00637580" w:rsidRDefault="003D07CA" w:rsidP="003E1F68">
            <w:pPr>
              <w:spacing w:before="40" w:after="40"/>
              <w:jc w:val="center"/>
              <w:rPr>
                <w:rFonts w:ascii="Arial" w:hAnsi="Arial" w:cs="Arial"/>
                <w:sz w:val="18"/>
                <w:szCs w:val="18"/>
              </w:rPr>
            </w:pPr>
          </w:p>
        </w:tc>
        <w:tc>
          <w:tcPr>
            <w:tcW w:w="660" w:type="dxa"/>
          </w:tcPr>
          <w:p w14:paraId="69981D6A" w14:textId="77777777" w:rsidR="003D07CA" w:rsidRPr="00637580" w:rsidRDefault="003D07CA" w:rsidP="003E1F68">
            <w:pPr>
              <w:spacing w:before="40" w:after="40"/>
              <w:jc w:val="center"/>
              <w:rPr>
                <w:rFonts w:ascii="Arial" w:hAnsi="Arial" w:cs="Arial"/>
                <w:sz w:val="18"/>
                <w:szCs w:val="18"/>
              </w:rPr>
            </w:pPr>
          </w:p>
        </w:tc>
        <w:tc>
          <w:tcPr>
            <w:tcW w:w="660" w:type="dxa"/>
          </w:tcPr>
          <w:p w14:paraId="69981D6B" w14:textId="77777777" w:rsidR="003D07CA" w:rsidRPr="00637580" w:rsidRDefault="003D07CA" w:rsidP="003E1F68">
            <w:pPr>
              <w:spacing w:before="40" w:after="40"/>
              <w:jc w:val="center"/>
              <w:rPr>
                <w:rFonts w:ascii="Arial" w:hAnsi="Arial" w:cs="Arial"/>
                <w:sz w:val="18"/>
                <w:szCs w:val="18"/>
              </w:rPr>
            </w:pPr>
          </w:p>
        </w:tc>
      </w:tr>
      <w:tr w:rsidR="003D07CA" w:rsidRPr="00637580" w14:paraId="69981D71" w14:textId="77777777" w:rsidTr="003E1F68">
        <w:tc>
          <w:tcPr>
            <w:tcW w:w="7020" w:type="dxa"/>
          </w:tcPr>
          <w:p w14:paraId="69981D6D" w14:textId="77777777" w:rsidR="003D07CA" w:rsidRPr="007C7C6F" w:rsidRDefault="00F52188" w:rsidP="00525B7F">
            <w:pPr>
              <w:pStyle w:val="Checklist1"/>
              <w:numPr>
                <w:ilvl w:val="0"/>
                <w:numId w:val="108"/>
              </w:numPr>
              <w:spacing w:before="40" w:after="40"/>
              <w:ind w:left="882"/>
              <w:rPr>
                <w:rFonts w:ascii="Arial" w:hAnsi="Arial" w:cs="Arial"/>
                <w:sz w:val="18"/>
                <w:szCs w:val="18"/>
              </w:rPr>
            </w:pPr>
            <w:r>
              <w:rPr>
                <w:rFonts w:ascii="Arial" w:hAnsi="Arial" w:cs="Arial"/>
                <w:sz w:val="18"/>
                <w:szCs w:val="18"/>
              </w:rPr>
              <w:t>i</w:t>
            </w:r>
            <w:r w:rsidR="003D07CA" w:rsidRPr="00637580">
              <w:rPr>
                <w:rFonts w:ascii="Arial" w:hAnsi="Arial" w:cs="Arial"/>
                <w:sz w:val="18"/>
                <w:szCs w:val="18"/>
              </w:rPr>
              <w:t xml:space="preserve">s the expiration date for the underlying funds at least the later of five years after the date the gift certificate was initially issued, or the date on which funds were last loaded to a store gift card or general-use </w:t>
            </w:r>
            <w:r w:rsidR="003D07CA" w:rsidRPr="005C153B">
              <w:rPr>
                <w:rFonts w:ascii="Arial" w:hAnsi="Arial" w:cs="Arial"/>
                <w:sz w:val="18"/>
                <w:szCs w:val="18"/>
              </w:rPr>
              <w:t xml:space="preserve">prepaid card; or </w:t>
            </w:r>
            <w:r w:rsidR="003D07CA" w:rsidRPr="00637580">
              <w:rPr>
                <w:rFonts w:ascii="Arial" w:hAnsi="Arial" w:cs="Arial"/>
                <w:sz w:val="18"/>
                <w:szCs w:val="18"/>
              </w:rPr>
              <w:t>the certificate or card expiration date, if any</w:t>
            </w:r>
            <w:r w:rsidR="00C97FE2">
              <w:rPr>
                <w:rFonts w:ascii="Arial" w:hAnsi="Arial" w:cs="Arial"/>
                <w:sz w:val="18"/>
                <w:szCs w:val="18"/>
              </w:rPr>
              <w:t>?</w:t>
            </w:r>
            <w:r w:rsidR="003D07CA" w:rsidRPr="00637580">
              <w:rPr>
                <w:rFonts w:ascii="Arial" w:hAnsi="Arial" w:cs="Arial"/>
                <w:sz w:val="18"/>
                <w:szCs w:val="18"/>
              </w:rPr>
              <w:t xml:space="preserve"> (12</w:t>
            </w:r>
            <w:r w:rsidR="003D07CA">
              <w:rPr>
                <w:rFonts w:ascii="Arial" w:hAnsi="Arial" w:cs="Arial"/>
                <w:sz w:val="18"/>
                <w:szCs w:val="18"/>
              </w:rPr>
              <w:t> </w:t>
            </w:r>
            <w:r w:rsidR="003D07CA" w:rsidRPr="007C7C6F">
              <w:rPr>
                <w:rFonts w:ascii="Arial" w:hAnsi="Arial" w:cs="Arial"/>
                <w:sz w:val="18"/>
                <w:szCs w:val="18"/>
              </w:rPr>
              <w:t>CFR</w:t>
            </w:r>
            <w:r w:rsidR="003D07CA">
              <w:rPr>
                <w:rFonts w:ascii="Arial" w:hAnsi="Arial" w:cs="Arial"/>
                <w:sz w:val="18"/>
                <w:szCs w:val="18"/>
              </w:rPr>
              <w:t> </w:t>
            </w:r>
            <w:r w:rsidR="003D07CA" w:rsidRPr="007C7C6F">
              <w:rPr>
                <w:rFonts w:ascii="Arial" w:hAnsi="Arial" w:cs="Arial"/>
                <w:sz w:val="18"/>
                <w:szCs w:val="18"/>
              </w:rPr>
              <w:t>1005.20(e)(2))</w:t>
            </w:r>
          </w:p>
        </w:tc>
        <w:tc>
          <w:tcPr>
            <w:tcW w:w="660" w:type="dxa"/>
            <w:tcBorders>
              <w:bottom w:val="single" w:sz="4" w:space="0" w:color="auto"/>
            </w:tcBorders>
          </w:tcPr>
          <w:p w14:paraId="69981D6E"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6F"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70" w14:textId="77777777" w:rsidR="003D07CA" w:rsidRPr="00637580" w:rsidRDefault="003D07CA" w:rsidP="003E1F68">
            <w:pPr>
              <w:spacing w:before="40" w:after="40"/>
              <w:jc w:val="center"/>
              <w:rPr>
                <w:rFonts w:ascii="Arial" w:hAnsi="Arial" w:cs="Arial"/>
                <w:sz w:val="18"/>
                <w:szCs w:val="18"/>
              </w:rPr>
            </w:pPr>
          </w:p>
        </w:tc>
      </w:tr>
      <w:tr w:rsidR="003D07CA" w:rsidRPr="00637580" w14:paraId="69981D76" w14:textId="77777777" w:rsidTr="003E1F68">
        <w:tc>
          <w:tcPr>
            <w:tcW w:w="7020" w:type="dxa"/>
          </w:tcPr>
          <w:p w14:paraId="69981D72" w14:textId="77777777" w:rsidR="003D07CA" w:rsidRPr="00637580" w:rsidRDefault="003D07CA" w:rsidP="00525B7F">
            <w:pPr>
              <w:pStyle w:val="Checklist1"/>
              <w:numPr>
                <w:ilvl w:val="0"/>
                <w:numId w:val="94"/>
              </w:numPr>
              <w:spacing w:before="40" w:after="40"/>
              <w:ind w:left="522" w:hanging="540"/>
              <w:rPr>
                <w:rFonts w:ascii="Arial" w:hAnsi="Arial" w:cs="Arial"/>
                <w:sz w:val="18"/>
                <w:szCs w:val="18"/>
              </w:rPr>
            </w:pPr>
            <w:r w:rsidRPr="00637580">
              <w:rPr>
                <w:rFonts w:ascii="Arial" w:hAnsi="Arial" w:cs="Arial"/>
                <w:sz w:val="18"/>
                <w:szCs w:val="18"/>
              </w:rPr>
              <w:t xml:space="preserve">If the financial institution sells or issues a gift certificate, store gift card, or general-use prepaid card with an expiration date, then are the following disclosures provided on the certificate or card, as applicable: </w:t>
            </w:r>
          </w:p>
        </w:tc>
        <w:tc>
          <w:tcPr>
            <w:tcW w:w="660" w:type="dxa"/>
            <w:shd w:val="clear" w:color="auto" w:fill="D9D9D9" w:themeFill="background1" w:themeFillShade="D9"/>
          </w:tcPr>
          <w:p w14:paraId="69981D73"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74"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75" w14:textId="77777777" w:rsidR="003D07CA" w:rsidRPr="00637580" w:rsidRDefault="003D07CA" w:rsidP="003E1F68">
            <w:pPr>
              <w:spacing w:before="40" w:after="40"/>
              <w:jc w:val="center"/>
              <w:rPr>
                <w:rFonts w:ascii="Arial" w:hAnsi="Arial" w:cs="Arial"/>
                <w:sz w:val="18"/>
                <w:szCs w:val="18"/>
              </w:rPr>
            </w:pPr>
          </w:p>
        </w:tc>
      </w:tr>
      <w:tr w:rsidR="003D07CA" w:rsidRPr="00637580" w14:paraId="69981D7B" w14:textId="77777777" w:rsidTr="003E1F68">
        <w:tc>
          <w:tcPr>
            <w:tcW w:w="7020" w:type="dxa"/>
          </w:tcPr>
          <w:p w14:paraId="69981D77" w14:textId="77777777" w:rsidR="003D07CA" w:rsidRPr="00637580" w:rsidRDefault="003D07CA" w:rsidP="00525B7F">
            <w:pPr>
              <w:pStyle w:val="Checklist1"/>
              <w:numPr>
                <w:ilvl w:val="0"/>
                <w:numId w:val="109"/>
              </w:numPr>
              <w:tabs>
                <w:tab w:val="clear" w:pos="882"/>
              </w:tabs>
              <w:spacing w:before="40" w:after="40"/>
              <w:rPr>
                <w:rFonts w:ascii="Arial" w:hAnsi="Arial" w:cs="Arial"/>
                <w:sz w:val="18"/>
                <w:szCs w:val="18"/>
              </w:rPr>
            </w:pPr>
            <w:r w:rsidRPr="00637580">
              <w:rPr>
                <w:rFonts w:ascii="Arial" w:hAnsi="Arial" w:cs="Arial"/>
                <w:sz w:val="18"/>
                <w:szCs w:val="18"/>
              </w:rPr>
              <w:t>The expiration date for the underlying funds, or if the underlying funds do not expire, that fact</w:t>
            </w:r>
            <w:r w:rsidR="00A26C07">
              <w:rPr>
                <w:rFonts w:ascii="Arial" w:hAnsi="Arial" w:cs="Arial"/>
                <w:sz w:val="18"/>
                <w:szCs w:val="18"/>
              </w:rPr>
              <w:t>;</w:t>
            </w:r>
            <w:r w:rsidRPr="00637580">
              <w:rPr>
                <w:rFonts w:ascii="Arial" w:hAnsi="Arial" w:cs="Arial"/>
                <w:sz w:val="18"/>
                <w:szCs w:val="18"/>
              </w:rPr>
              <w:t xml:space="preserve"> (12 CFR 1005.20(e)(3)(i))</w:t>
            </w:r>
          </w:p>
        </w:tc>
        <w:tc>
          <w:tcPr>
            <w:tcW w:w="660" w:type="dxa"/>
          </w:tcPr>
          <w:p w14:paraId="69981D78" w14:textId="77777777" w:rsidR="003D07CA" w:rsidRPr="00637580" w:rsidRDefault="003D07CA" w:rsidP="003E1F68">
            <w:pPr>
              <w:spacing w:before="40" w:after="40"/>
              <w:jc w:val="center"/>
              <w:rPr>
                <w:rFonts w:ascii="Arial" w:hAnsi="Arial" w:cs="Arial"/>
                <w:sz w:val="18"/>
                <w:szCs w:val="18"/>
              </w:rPr>
            </w:pPr>
          </w:p>
        </w:tc>
        <w:tc>
          <w:tcPr>
            <w:tcW w:w="660" w:type="dxa"/>
          </w:tcPr>
          <w:p w14:paraId="69981D79" w14:textId="77777777" w:rsidR="003D07CA" w:rsidRPr="00637580" w:rsidRDefault="003D07CA" w:rsidP="003E1F68">
            <w:pPr>
              <w:spacing w:before="40" w:after="40"/>
              <w:jc w:val="center"/>
              <w:rPr>
                <w:rFonts w:ascii="Arial" w:hAnsi="Arial" w:cs="Arial"/>
                <w:sz w:val="18"/>
                <w:szCs w:val="18"/>
              </w:rPr>
            </w:pPr>
          </w:p>
        </w:tc>
        <w:tc>
          <w:tcPr>
            <w:tcW w:w="660" w:type="dxa"/>
          </w:tcPr>
          <w:p w14:paraId="69981D7A" w14:textId="77777777" w:rsidR="003D07CA" w:rsidRPr="00637580" w:rsidRDefault="003D07CA" w:rsidP="003E1F68">
            <w:pPr>
              <w:spacing w:before="40" w:after="40"/>
              <w:jc w:val="center"/>
              <w:rPr>
                <w:rFonts w:ascii="Arial" w:hAnsi="Arial" w:cs="Arial"/>
                <w:sz w:val="18"/>
                <w:szCs w:val="18"/>
              </w:rPr>
            </w:pPr>
          </w:p>
        </w:tc>
      </w:tr>
      <w:tr w:rsidR="003D07CA" w:rsidRPr="00637580" w14:paraId="69981D80" w14:textId="77777777" w:rsidTr="003E1F68">
        <w:tc>
          <w:tcPr>
            <w:tcW w:w="7020" w:type="dxa"/>
          </w:tcPr>
          <w:p w14:paraId="69981D7C" w14:textId="77777777" w:rsidR="003D07CA" w:rsidRPr="00637580" w:rsidRDefault="003D07CA" w:rsidP="00525B7F">
            <w:pPr>
              <w:pStyle w:val="Checklist1"/>
              <w:numPr>
                <w:ilvl w:val="0"/>
                <w:numId w:val="109"/>
              </w:numPr>
              <w:tabs>
                <w:tab w:val="clear" w:pos="882"/>
              </w:tabs>
              <w:spacing w:before="40" w:after="40"/>
              <w:rPr>
                <w:rFonts w:ascii="Arial" w:hAnsi="Arial" w:cs="Arial"/>
                <w:sz w:val="18"/>
                <w:szCs w:val="18"/>
              </w:rPr>
            </w:pPr>
            <w:r w:rsidRPr="00637580">
              <w:rPr>
                <w:rFonts w:ascii="Arial" w:hAnsi="Arial" w:cs="Arial"/>
                <w:sz w:val="18"/>
                <w:szCs w:val="18"/>
              </w:rPr>
              <w:t>A toll-free number and, if one is maintained, a Web site that a consumer may use to obtain a replacement certificate or card after the certificate or card expires if the underlying funds may be available; and (12 CFR 1005.20(e)(3)(ii))</w:t>
            </w:r>
          </w:p>
        </w:tc>
        <w:tc>
          <w:tcPr>
            <w:tcW w:w="660" w:type="dxa"/>
          </w:tcPr>
          <w:p w14:paraId="69981D7D" w14:textId="77777777" w:rsidR="003D07CA" w:rsidRPr="00637580" w:rsidRDefault="003D07CA" w:rsidP="003E1F68">
            <w:pPr>
              <w:spacing w:before="40" w:after="40"/>
              <w:jc w:val="center"/>
              <w:rPr>
                <w:rFonts w:ascii="Arial" w:hAnsi="Arial" w:cs="Arial"/>
                <w:sz w:val="18"/>
                <w:szCs w:val="18"/>
              </w:rPr>
            </w:pPr>
          </w:p>
        </w:tc>
        <w:tc>
          <w:tcPr>
            <w:tcW w:w="660" w:type="dxa"/>
          </w:tcPr>
          <w:p w14:paraId="69981D7E" w14:textId="77777777" w:rsidR="003D07CA" w:rsidRPr="00637580" w:rsidRDefault="003D07CA" w:rsidP="003E1F68">
            <w:pPr>
              <w:spacing w:before="40" w:after="40"/>
              <w:jc w:val="center"/>
              <w:rPr>
                <w:rFonts w:ascii="Arial" w:hAnsi="Arial" w:cs="Arial"/>
                <w:sz w:val="18"/>
                <w:szCs w:val="18"/>
              </w:rPr>
            </w:pPr>
          </w:p>
        </w:tc>
        <w:tc>
          <w:tcPr>
            <w:tcW w:w="660" w:type="dxa"/>
          </w:tcPr>
          <w:p w14:paraId="69981D7F" w14:textId="77777777" w:rsidR="003D07CA" w:rsidRPr="00637580" w:rsidRDefault="003D07CA" w:rsidP="003E1F68">
            <w:pPr>
              <w:spacing w:before="40" w:after="40"/>
              <w:jc w:val="center"/>
              <w:rPr>
                <w:rFonts w:ascii="Arial" w:hAnsi="Arial" w:cs="Arial"/>
                <w:sz w:val="18"/>
                <w:szCs w:val="18"/>
              </w:rPr>
            </w:pPr>
          </w:p>
        </w:tc>
      </w:tr>
      <w:tr w:rsidR="003D07CA" w:rsidRPr="00637580" w14:paraId="69981D85" w14:textId="77777777" w:rsidTr="003E1F68">
        <w:tc>
          <w:tcPr>
            <w:tcW w:w="7020" w:type="dxa"/>
          </w:tcPr>
          <w:p w14:paraId="69981D81" w14:textId="77777777" w:rsidR="003D07CA" w:rsidRPr="00637580" w:rsidRDefault="003D07CA" w:rsidP="00525B7F">
            <w:pPr>
              <w:pStyle w:val="Checklist1"/>
              <w:numPr>
                <w:ilvl w:val="0"/>
                <w:numId w:val="109"/>
              </w:numPr>
              <w:tabs>
                <w:tab w:val="clear" w:pos="882"/>
              </w:tabs>
              <w:spacing w:before="40" w:after="40"/>
              <w:rPr>
                <w:rFonts w:ascii="Arial" w:hAnsi="Arial" w:cs="Arial"/>
                <w:sz w:val="18"/>
                <w:szCs w:val="18"/>
              </w:rPr>
            </w:pPr>
            <w:r w:rsidRPr="00637580">
              <w:rPr>
                <w:rFonts w:ascii="Arial" w:hAnsi="Arial" w:cs="Arial"/>
                <w:sz w:val="18"/>
                <w:szCs w:val="18"/>
              </w:rPr>
              <w:t>Except whe</w:t>
            </w:r>
            <w:r w:rsidR="00CB00C1">
              <w:rPr>
                <w:rFonts w:ascii="Arial" w:hAnsi="Arial" w:cs="Arial"/>
                <w:sz w:val="18"/>
                <w:szCs w:val="18"/>
              </w:rPr>
              <w:t>n</w:t>
            </w:r>
            <w:r w:rsidRPr="00637580">
              <w:rPr>
                <w:rFonts w:ascii="Arial" w:hAnsi="Arial" w:cs="Arial"/>
                <w:sz w:val="18"/>
                <w:szCs w:val="18"/>
              </w:rPr>
              <w:t xml:space="preserve"> a non-reloadable certificate or card bears an expiration date that is at least seven years from the date of manufacture, a statement, disclosed with equal prominence and in close proximity to the certificate or card expiration date, that</w:t>
            </w:r>
          </w:p>
        </w:tc>
        <w:tc>
          <w:tcPr>
            <w:tcW w:w="660" w:type="dxa"/>
          </w:tcPr>
          <w:p w14:paraId="69981D82" w14:textId="77777777" w:rsidR="003D07CA" w:rsidRPr="00637580" w:rsidRDefault="003D07CA" w:rsidP="003E1F68">
            <w:pPr>
              <w:spacing w:before="40" w:after="40"/>
              <w:jc w:val="center"/>
              <w:rPr>
                <w:rFonts w:ascii="Arial" w:hAnsi="Arial" w:cs="Arial"/>
                <w:sz w:val="18"/>
                <w:szCs w:val="18"/>
              </w:rPr>
            </w:pPr>
          </w:p>
        </w:tc>
        <w:tc>
          <w:tcPr>
            <w:tcW w:w="660" w:type="dxa"/>
          </w:tcPr>
          <w:p w14:paraId="69981D83" w14:textId="77777777" w:rsidR="003D07CA" w:rsidRPr="00637580" w:rsidRDefault="003D07CA" w:rsidP="003E1F68">
            <w:pPr>
              <w:spacing w:before="40" w:after="40"/>
              <w:jc w:val="center"/>
              <w:rPr>
                <w:rFonts w:ascii="Arial" w:hAnsi="Arial" w:cs="Arial"/>
                <w:sz w:val="18"/>
                <w:szCs w:val="18"/>
              </w:rPr>
            </w:pPr>
          </w:p>
        </w:tc>
        <w:tc>
          <w:tcPr>
            <w:tcW w:w="660" w:type="dxa"/>
          </w:tcPr>
          <w:p w14:paraId="69981D84" w14:textId="77777777" w:rsidR="003D07CA" w:rsidRPr="00637580" w:rsidRDefault="003D07CA" w:rsidP="003E1F68">
            <w:pPr>
              <w:spacing w:before="40" w:after="40"/>
              <w:jc w:val="center"/>
              <w:rPr>
                <w:rFonts w:ascii="Arial" w:hAnsi="Arial" w:cs="Arial"/>
                <w:sz w:val="18"/>
                <w:szCs w:val="18"/>
              </w:rPr>
            </w:pPr>
          </w:p>
        </w:tc>
      </w:tr>
      <w:tr w:rsidR="003D07CA" w:rsidRPr="00637580" w14:paraId="69981D8A" w14:textId="77777777" w:rsidTr="003E1F68">
        <w:tc>
          <w:tcPr>
            <w:tcW w:w="7020" w:type="dxa"/>
          </w:tcPr>
          <w:p w14:paraId="69981D86" w14:textId="77777777" w:rsidR="003D07CA" w:rsidRPr="007C7C6F" w:rsidRDefault="003D07CA" w:rsidP="00525B7F">
            <w:pPr>
              <w:pStyle w:val="Checklist1"/>
              <w:numPr>
                <w:ilvl w:val="0"/>
                <w:numId w:val="96"/>
              </w:numPr>
              <w:tabs>
                <w:tab w:val="clear" w:pos="720"/>
                <w:tab w:val="num" w:pos="1242"/>
              </w:tabs>
              <w:spacing w:before="40" w:after="40"/>
              <w:ind w:left="1242"/>
              <w:rPr>
                <w:rFonts w:ascii="Arial" w:hAnsi="Arial" w:cs="Arial"/>
                <w:sz w:val="18"/>
                <w:szCs w:val="18"/>
              </w:rPr>
            </w:pPr>
            <w:r w:rsidRPr="00637580">
              <w:rPr>
                <w:rFonts w:ascii="Arial" w:hAnsi="Arial" w:cs="Arial"/>
                <w:sz w:val="18"/>
                <w:szCs w:val="18"/>
              </w:rPr>
              <w:t>the certificate or card expires, but the underlying funds either do not expire or expire later than the certificate or card</w:t>
            </w:r>
            <w:r w:rsidR="00A26C07">
              <w:rPr>
                <w:rFonts w:ascii="Arial" w:hAnsi="Arial" w:cs="Arial"/>
                <w:sz w:val="18"/>
                <w:szCs w:val="18"/>
              </w:rPr>
              <w:t>;</w:t>
            </w:r>
            <w:r w:rsidRPr="00637580">
              <w:rPr>
                <w:rFonts w:ascii="Arial" w:hAnsi="Arial" w:cs="Arial"/>
                <w:sz w:val="18"/>
                <w:szCs w:val="18"/>
              </w:rPr>
              <w:t xml:space="preserve">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 xml:space="preserve">1005.20(e)(3)(iii)(A)) </w:t>
            </w:r>
          </w:p>
        </w:tc>
        <w:tc>
          <w:tcPr>
            <w:tcW w:w="660" w:type="dxa"/>
          </w:tcPr>
          <w:p w14:paraId="69981D87" w14:textId="77777777" w:rsidR="003D07CA" w:rsidRPr="00637580" w:rsidRDefault="003D07CA" w:rsidP="003E1F68">
            <w:pPr>
              <w:spacing w:before="40" w:after="40"/>
              <w:jc w:val="center"/>
              <w:rPr>
                <w:rFonts w:ascii="Arial" w:hAnsi="Arial" w:cs="Arial"/>
                <w:sz w:val="18"/>
                <w:szCs w:val="18"/>
              </w:rPr>
            </w:pPr>
          </w:p>
        </w:tc>
        <w:tc>
          <w:tcPr>
            <w:tcW w:w="660" w:type="dxa"/>
          </w:tcPr>
          <w:p w14:paraId="69981D88" w14:textId="77777777" w:rsidR="003D07CA" w:rsidRPr="00637580" w:rsidRDefault="003D07CA" w:rsidP="003E1F68">
            <w:pPr>
              <w:spacing w:before="40" w:after="40"/>
              <w:jc w:val="center"/>
              <w:rPr>
                <w:rFonts w:ascii="Arial" w:hAnsi="Arial" w:cs="Arial"/>
                <w:sz w:val="18"/>
                <w:szCs w:val="18"/>
              </w:rPr>
            </w:pPr>
          </w:p>
        </w:tc>
        <w:tc>
          <w:tcPr>
            <w:tcW w:w="660" w:type="dxa"/>
          </w:tcPr>
          <w:p w14:paraId="69981D89" w14:textId="77777777" w:rsidR="003D07CA" w:rsidRPr="00637580" w:rsidRDefault="003D07CA" w:rsidP="003E1F68">
            <w:pPr>
              <w:spacing w:before="40" w:after="40"/>
              <w:jc w:val="center"/>
              <w:rPr>
                <w:rFonts w:ascii="Arial" w:hAnsi="Arial" w:cs="Arial"/>
                <w:sz w:val="18"/>
                <w:szCs w:val="18"/>
              </w:rPr>
            </w:pPr>
          </w:p>
        </w:tc>
      </w:tr>
      <w:tr w:rsidR="003D07CA" w:rsidRPr="00637580" w14:paraId="69981D8F" w14:textId="77777777" w:rsidTr="003E1F68">
        <w:tc>
          <w:tcPr>
            <w:tcW w:w="7020" w:type="dxa"/>
          </w:tcPr>
          <w:p w14:paraId="69981D8B" w14:textId="77777777" w:rsidR="003D07CA" w:rsidRPr="00637580" w:rsidRDefault="003D07CA" w:rsidP="00525B7F">
            <w:pPr>
              <w:pStyle w:val="Checklist1"/>
              <w:numPr>
                <w:ilvl w:val="0"/>
                <w:numId w:val="96"/>
              </w:numPr>
              <w:tabs>
                <w:tab w:val="clear" w:pos="720"/>
                <w:tab w:val="num" w:pos="1242"/>
              </w:tabs>
              <w:spacing w:before="40" w:after="40"/>
              <w:ind w:left="1242"/>
              <w:rPr>
                <w:rFonts w:ascii="Arial" w:hAnsi="Arial" w:cs="Arial"/>
                <w:sz w:val="18"/>
                <w:szCs w:val="18"/>
              </w:rPr>
            </w:pPr>
            <w:r w:rsidRPr="00637580">
              <w:rPr>
                <w:rFonts w:ascii="Arial" w:hAnsi="Arial" w:cs="Arial"/>
                <w:sz w:val="18"/>
                <w:szCs w:val="18"/>
              </w:rPr>
              <w:t>the consumer may contact the issuer for a replacement card; and (12 CFR 1005.20(e)(3)(iii)(B))</w:t>
            </w:r>
          </w:p>
        </w:tc>
        <w:tc>
          <w:tcPr>
            <w:tcW w:w="660" w:type="dxa"/>
          </w:tcPr>
          <w:p w14:paraId="69981D8C" w14:textId="77777777" w:rsidR="003D07CA" w:rsidRPr="00637580" w:rsidRDefault="003D07CA" w:rsidP="003E1F68">
            <w:pPr>
              <w:spacing w:before="40" w:after="40"/>
              <w:jc w:val="center"/>
              <w:rPr>
                <w:rFonts w:ascii="Arial" w:hAnsi="Arial" w:cs="Arial"/>
                <w:sz w:val="18"/>
                <w:szCs w:val="18"/>
              </w:rPr>
            </w:pPr>
          </w:p>
        </w:tc>
        <w:tc>
          <w:tcPr>
            <w:tcW w:w="660" w:type="dxa"/>
          </w:tcPr>
          <w:p w14:paraId="69981D8D" w14:textId="77777777" w:rsidR="003D07CA" w:rsidRPr="00637580" w:rsidRDefault="003D07CA" w:rsidP="003E1F68">
            <w:pPr>
              <w:spacing w:before="40" w:after="40"/>
              <w:jc w:val="center"/>
              <w:rPr>
                <w:rFonts w:ascii="Arial" w:hAnsi="Arial" w:cs="Arial"/>
                <w:sz w:val="18"/>
                <w:szCs w:val="18"/>
              </w:rPr>
            </w:pPr>
          </w:p>
        </w:tc>
        <w:tc>
          <w:tcPr>
            <w:tcW w:w="660" w:type="dxa"/>
          </w:tcPr>
          <w:p w14:paraId="69981D8E" w14:textId="77777777" w:rsidR="003D07CA" w:rsidRPr="00637580" w:rsidRDefault="003D07CA" w:rsidP="003E1F68">
            <w:pPr>
              <w:spacing w:before="40" w:after="40"/>
              <w:jc w:val="center"/>
              <w:rPr>
                <w:rFonts w:ascii="Arial" w:hAnsi="Arial" w:cs="Arial"/>
                <w:sz w:val="18"/>
                <w:szCs w:val="18"/>
              </w:rPr>
            </w:pPr>
          </w:p>
        </w:tc>
      </w:tr>
      <w:tr w:rsidR="003D07CA" w:rsidRPr="00637580" w14:paraId="69981D94" w14:textId="77777777" w:rsidTr="003E1F68">
        <w:tc>
          <w:tcPr>
            <w:tcW w:w="7020" w:type="dxa"/>
          </w:tcPr>
          <w:p w14:paraId="69981D90" w14:textId="77777777" w:rsidR="003D07CA" w:rsidRPr="00637580" w:rsidRDefault="003D07CA" w:rsidP="00525B7F">
            <w:pPr>
              <w:pStyle w:val="Checklist1"/>
              <w:numPr>
                <w:ilvl w:val="0"/>
                <w:numId w:val="96"/>
              </w:numPr>
              <w:tabs>
                <w:tab w:val="clear" w:pos="720"/>
                <w:tab w:val="num" w:pos="1242"/>
              </w:tabs>
              <w:spacing w:before="40" w:after="40"/>
              <w:ind w:left="1242"/>
              <w:rPr>
                <w:rFonts w:ascii="Arial" w:hAnsi="Arial" w:cs="Arial"/>
                <w:sz w:val="18"/>
                <w:szCs w:val="18"/>
              </w:rPr>
            </w:pPr>
            <w:r w:rsidRPr="00637580">
              <w:rPr>
                <w:rFonts w:ascii="Arial" w:hAnsi="Arial" w:cs="Arial"/>
                <w:sz w:val="18"/>
                <w:szCs w:val="18"/>
              </w:rPr>
              <w:t>no fee or charge is imposed on the cardholder for replacing the gift certificate, store gift card, or general-use prepaid card or for providing the certificate or cardholder with the remaining balance in some manner prior to the funds expiration date unless such certificate or card has been los</w:t>
            </w:r>
            <w:r w:rsidR="003A79D1">
              <w:rPr>
                <w:rFonts w:ascii="Arial" w:hAnsi="Arial" w:cs="Arial"/>
                <w:sz w:val="18"/>
                <w:szCs w:val="18"/>
              </w:rPr>
              <w:t>t or stolen. (12 CFR 1005.20(e)</w:t>
            </w:r>
            <w:r w:rsidRPr="00637580">
              <w:rPr>
                <w:rFonts w:ascii="Arial" w:hAnsi="Arial" w:cs="Arial"/>
                <w:sz w:val="18"/>
                <w:szCs w:val="18"/>
              </w:rPr>
              <w:t xml:space="preserve">(4)) </w:t>
            </w:r>
          </w:p>
        </w:tc>
        <w:tc>
          <w:tcPr>
            <w:tcW w:w="660" w:type="dxa"/>
            <w:tcBorders>
              <w:bottom w:val="single" w:sz="4" w:space="0" w:color="auto"/>
            </w:tcBorders>
          </w:tcPr>
          <w:p w14:paraId="69981D91"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92"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93" w14:textId="77777777" w:rsidR="003D07CA" w:rsidRPr="00637580" w:rsidRDefault="003D07CA" w:rsidP="003E1F68">
            <w:pPr>
              <w:spacing w:before="40" w:after="40"/>
              <w:jc w:val="center"/>
              <w:rPr>
                <w:rFonts w:ascii="Arial" w:hAnsi="Arial" w:cs="Arial"/>
                <w:sz w:val="18"/>
                <w:szCs w:val="18"/>
              </w:rPr>
            </w:pPr>
          </w:p>
        </w:tc>
      </w:tr>
    </w:tbl>
    <w:p w14:paraId="69981D95" w14:textId="77777777" w:rsidR="003D07CA" w:rsidRPr="00637580" w:rsidRDefault="003D07CA" w:rsidP="003D07CA">
      <w:pPr>
        <w:rPr>
          <w:rFonts w:ascii="Arial" w:hAnsi="Arial" w:cs="Arial"/>
          <w:sz w:val="18"/>
          <w:szCs w:val="18"/>
        </w:rPr>
      </w:pPr>
      <w:r w:rsidRPr="00637580">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480"/>
        <w:gridCol w:w="180"/>
        <w:gridCol w:w="570"/>
        <w:gridCol w:w="90"/>
        <w:gridCol w:w="660"/>
      </w:tblGrid>
      <w:tr w:rsidR="003D07CA" w:rsidRPr="00637580" w14:paraId="69981D9A" w14:textId="77777777" w:rsidTr="003E1F68">
        <w:tc>
          <w:tcPr>
            <w:tcW w:w="7020" w:type="dxa"/>
          </w:tcPr>
          <w:p w14:paraId="69981D96"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gridSpan w:val="2"/>
            <w:shd w:val="clear" w:color="auto" w:fill="D9D9D9" w:themeFill="background1" w:themeFillShade="D9"/>
          </w:tcPr>
          <w:p w14:paraId="69981D97"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gridSpan w:val="2"/>
            <w:shd w:val="clear" w:color="auto" w:fill="D9D9D9" w:themeFill="background1" w:themeFillShade="D9"/>
          </w:tcPr>
          <w:p w14:paraId="69981D98"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60" w:type="dxa"/>
            <w:shd w:val="clear" w:color="auto" w:fill="D9D9D9" w:themeFill="background1" w:themeFillShade="D9"/>
          </w:tcPr>
          <w:p w14:paraId="69981D99"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D9F" w14:textId="77777777" w:rsidTr="003E1F68">
        <w:tc>
          <w:tcPr>
            <w:tcW w:w="7020" w:type="dxa"/>
          </w:tcPr>
          <w:p w14:paraId="69981D9B" w14:textId="77777777" w:rsidR="003D07CA" w:rsidRPr="00637580" w:rsidRDefault="003D07CA" w:rsidP="00525B7F">
            <w:pPr>
              <w:pStyle w:val="Checklist1"/>
              <w:numPr>
                <w:ilvl w:val="0"/>
                <w:numId w:val="94"/>
              </w:numPr>
              <w:spacing w:before="40" w:after="40"/>
              <w:ind w:left="522" w:hanging="540"/>
              <w:rPr>
                <w:rFonts w:ascii="Arial" w:hAnsi="Arial" w:cs="Arial"/>
                <w:sz w:val="18"/>
                <w:szCs w:val="18"/>
              </w:rPr>
            </w:pPr>
            <w:r w:rsidRPr="00637580">
              <w:rPr>
                <w:rFonts w:ascii="Arial" w:hAnsi="Arial" w:cs="Arial"/>
                <w:sz w:val="18"/>
                <w:szCs w:val="18"/>
              </w:rPr>
              <w:t>The following disclosures are provided in connection with a gift certificate, store gift card, or general-use prepaid card, as applicable:</w:t>
            </w:r>
          </w:p>
        </w:tc>
        <w:tc>
          <w:tcPr>
            <w:tcW w:w="660" w:type="dxa"/>
            <w:gridSpan w:val="2"/>
            <w:shd w:val="clear" w:color="auto" w:fill="D9D9D9" w:themeFill="background1" w:themeFillShade="D9"/>
          </w:tcPr>
          <w:p w14:paraId="69981D9C" w14:textId="77777777" w:rsidR="003D07CA" w:rsidRPr="00637580" w:rsidRDefault="003D07CA" w:rsidP="003E1F68">
            <w:pPr>
              <w:spacing w:before="40" w:after="40"/>
              <w:jc w:val="center"/>
              <w:rPr>
                <w:rFonts w:ascii="Arial" w:hAnsi="Arial" w:cs="Arial"/>
                <w:sz w:val="18"/>
                <w:szCs w:val="18"/>
              </w:rPr>
            </w:pPr>
          </w:p>
        </w:tc>
        <w:tc>
          <w:tcPr>
            <w:tcW w:w="660" w:type="dxa"/>
            <w:gridSpan w:val="2"/>
            <w:shd w:val="clear" w:color="auto" w:fill="D9D9D9" w:themeFill="background1" w:themeFillShade="D9"/>
          </w:tcPr>
          <w:p w14:paraId="69981D9D"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9E" w14:textId="77777777" w:rsidR="003D07CA" w:rsidRPr="00637580" w:rsidRDefault="003D07CA" w:rsidP="003E1F68">
            <w:pPr>
              <w:spacing w:before="40" w:after="40"/>
              <w:jc w:val="center"/>
              <w:rPr>
                <w:rFonts w:ascii="Arial" w:hAnsi="Arial" w:cs="Arial"/>
                <w:sz w:val="18"/>
                <w:szCs w:val="18"/>
              </w:rPr>
            </w:pPr>
          </w:p>
        </w:tc>
      </w:tr>
      <w:tr w:rsidR="003D07CA" w:rsidRPr="00637580" w14:paraId="69981DA4" w14:textId="77777777" w:rsidTr="003E1F68">
        <w:tc>
          <w:tcPr>
            <w:tcW w:w="7020" w:type="dxa"/>
          </w:tcPr>
          <w:p w14:paraId="69981DA0" w14:textId="77777777" w:rsidR="003D07CA" w:rsidRPr="00637580" w:rsidRDefault="003D07CA" w:rsidP="00525B7F">
            <w:pPr>
              <w:pStyle w:val="Checklist1"/>
              <w:numPr>
                <w:ilvl w:val="0"/>
                <w:numId w:val="110"/>
              </w:numPr>
              <w:spacing w:before="40" w:after="40"/>
              <w:rPr>
                <w:rFonts w:ascii="Arial" w:hAnsi="Arial" w:cs="Arial"/>
                <w:sz w:val="18"/>
                <w:szCs w:val="18"/>
              </w:rPr>
            </w:pPr>
            <w:r w:rsidRPr="00637580">
              <w:rPr>
                <w:rFonts w:ascii="Arial" w:hAnsi="Arial" w:cs="Arial"/>
                <w:sz w:val="18"/>
                <w:szCs w:val="18"/>
              </w:rPr>
              <w:t>For each type of fee that may be imposed in connection with the gift certificate or card (other than a dormancy, inactivity, or service fee subject to the disclosure requirements under (12 CFR 1005.20(d)(2)), the following information must be provided on or with the certificate or card:</w:t>
            </w:r>
          </w:p>
        </w:tc>
        <w:tc>
          <w:tcPr>
            <w:tcW w:w="660" w:type="dxa"/>
            <w:gridSpan w:val="2"/>
          </w:tcPr>
          <w:p w14:paraId="69981DA1"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DA2" w14:textId="77777777" w:rsidR="003D07CA" w:rsidRPr="00637580" w:rsidRDefault="003D07CA" w:rsidP="003E1F68">
            <w:pPr>
              <w:spacing w:before="40" w:after="40"/>
              <w:jc w:val="center"/>
              <w:rPr>
                <w:rFonts w:ascii="Arial" w:hAnsi="Arial" w:cs="Arial"/>
                <w:sz w:val="18"/>
                <w:szCs w:val="18"/>
              </w:rPr>
            </w:pPr>
          </w:p>
        </w:tc>
        <w:tc>
          <w:tcPr>
            <w:tcW w:w="660" w:type="dxa"/>
          </w:tcPr>
          <w:p w14:paraId="69981DA3" w14:textId="77777777" w:rsidR="003D07CA" w:rsidRPr="00637580" w:rsidRDefault="003D07CA" w:rsidP="003E1F68">
            <w:pPr>
              <w:spacing w:before="40" w:after="40"/>
              <w:jc w:val="center"/>
              <w:rPr>
                <w:rFonts w:ascii="Arial" w:hAnsi="Arial" w:cs="Arial"/>
                <w:sz w:val="18"/>
                <w:szCs w:val="18"/>
              </w:rPr>
            </w:pPr>
          </w:p>
        </w:tc>
      </w:tr>
      <w:tr w:rsidR="003D07CA" w:rsidRPr="00637580" w14:paraId="69981DA9" w14:textId="77777777" w:rsidTr="003E1F68">
        <w:tc>
          <w:tcPr>
            <w:tcW w:w="7020" w:type="dxa"/>
          </w:tcPr>
          <w:p w14:paraId="69981DA5" w14:textId="77777777" w:rsidR="003D07CA" w:rsidRPr="00637580" w:rsidRDefault="003D07CA" w:rsidP="00525B7F">
            <w:pPr>
              <w:pStyle w:val="Checklist1"/>
              <w:numPr>
                <w:ilvl w:val="0"/>
                <w:numId w:val="97"/>
              </w:numPr>
              <w:tabs>
                <w:tab w:val="clear" w:pos="720"/>
                <w:tab w:val="num" w:pos="1242"/>
              </w:tabs>
              <w:spacing w:before="40" w:after="40"/>
              <w:ind w:left="1242"/>
              <w:rPr>
                <w:rFonts w:ascii="Arial" w:hAnsi="Arial" w:cs="Arial"/>
                <w:sz w:val="18"/>
                <w:szCs w:val="18"/>
              </w:rPr>
            </w:pPr>
            <w:r w:rsidRPr="00637580">
              <w:rPr>
                <w:rFonts w:ascii="Arial" w:hAnsi="Arial" w:cs="Arial"/>
                <w:sz w:val="18"/>
                <w:szCs w:val="18"/>
              </w:rPr>
              <w:t>The type of fee; (12 CFR 1005.20(f)(1)(i))</w:t>
            </w:r>
          </w:p>
        </w:tc>
        <w:tc>
          <w:tcPr>
            <w:tcW w:w="660" w:type="dxa"/>
            <w:gridSpan w:val="2"/>
          </w:tcPr>
          <w:p w14:paraId="69981DA6"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DA7" w14:textId="77777777" w:rsidR="003D07CA" w:rsidRPr="00637580" w:rsidRDefault="003D07CA" w:rsidP="003E1F68">
            <w:pPr>
              <w:spacing w:before="40" w:after="40"/>
              <w:jc w:val="center"/>
              <w:rPr>
                <w:rFonts w:ascii="Arial" w:hAnsi="Arial" w:cs="Arial"/>
                <w:sz w:val="18"/>
                <w:szCs w:val="18"/>
              </w:rPr>
            </w:pPr>
          </w:p>
        </w:tc>
        <w:tc>
          <w:tcPr>
            <w:tcW w:w="660" w:type="dxa"/>
          </w:tcPr>
          <w:p w14:paraId="69981DA8" w14:textId="77777777" w:rsidR="003D07CA" w:rsidRPr="00637580" w:rsidRDefault="003D07CA" w:rsidP="003E1F68">
            <w:pPr>
              <w:spacing w:before="40" w:after="40"/>
              <w:jc w:val="center"/>
              <w:rPr>
                <w:rFonts w:ascii="Arial" w:hAnsi="Arial" w:cs="Arial"/>
                <w:sz w:val="18"/>
                <w:szCs w:val="18"/>
              </w:rPr>
            </w:pPr>
          </w:p>
        </w:tc>
      </w:tr>
      <w:tr w:rsidR="003D07CA" w:rsidRPr="00637580" w14:paraId="69981DAE" w14:textId="77777777" w:rsidTr="003E1F68">
        <w:tc>
          <w:tcPr>
            <w:tcW w:w="7020" w:type="dxa"/>
          </w:tcPr>
          <w:p w14:paraId="69981DAA" w14:textId="77777777" w:rsidR="003D07CA" w:rsidRPr="00637580" w:rsidRDefault="003D07CA" w:rsidP="00525B7F">
            <w:pPr>
              <w:pStyle w:val="Checklist1"/>
              <w:numPr>
                <w:ilvl w:val="0"/>
                <w:numId w:val="97"/>
              </w:numPr>
              <w:tabs>
                <w:tab w:val="clear" w:pos="720"/>
                <w:tab w:val="num" w:pos="1242"/>
              </w:tabs>
              <w:spacing w:before="40" w:after="40"/>
              <w:ind w:left="1242"/>
              <w:rPr>
                <w:rFonts w:ascii="Arial" w:hAnsi="Arial" w:cs="Arial"/>
                <w:sz w:val="18"/>
                <w:szCs w:val="18"/>
              </w:rPr>
            </w:pPr>
            <w:r w:rsidRPr="00637580">
              <w:rPr>
                <w:rFonts w:ascii="Arial" w:hAnsi="Arial" w:cs="Arial"/>
                <w:sz w:val="18"/>
                <w:szCs w:val="18"/>
              </w:rPr>
              <w:t>The amount of the fee (or an explanation of how the fee will be determined); and (12 CFR 1005.20(f)(1)(ii))</w:t>
            </w:r>
          </w:p>
        </w:tc>
        <w:tc>
          <w:tcPr>
            <w:tcW w:w="660" w:type="dxa"/>
            <w:gridSpan w:val="2"/>
          </w:tcPr>
          <w:p w14:paraId="69981DAB"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DAC" w14:textId="77777777" w:rsidR="003D07CA" w:rsidRPr="00637580" w:rsidRDefault="003D07CA" w:rsidP="003E1F68">
            <w:pPr>
              <w:spacing w:before="40" w:after="40"/>
              <w:jc w:val="center"/>
              <w:rPr>
                <w:rFonts w:ascii="Arial" w:hAnsi="Arial" w:cs="Arial"/>
                <w:sz w:val="18"/>
                <w:szCs w:val="18"/>
              </w:rPr>
            </w:pPr>
          </w:p>
        </w:tc>
        <w:tc>
          <w:tcPr>
            <w:tcW w:w="660" w:type="dxa"/>
          </w:tcPr>
          <w:p w14:paraId="69981DAD" w14:textId="77777777" w:rsidR="003D07CA" w:rsidRPr="00637580" w:rsidRDefault="003D07CA" w:rsidP="003E1F68">
            <w:pPr>
              <w:spacing w:before="40" w:after="40"/>
              <w:jc w:val="center"/>
              <w:rPr>
                <w:rFonts w:ascii="Arial" w:hAnsi="Arial" w:cs="Arial"/>
                <w:sz w:val="18"/>
                <w:szCs w:val="18"/>
              </w:rPr>
            </w:pPr>
          </w:p>
        </w:tc>
      </w:tr>
      <w:tr w:rsidR="003D07CA" w:rsidRPr="00637580" w14:paraId="69981DB3" w14:textId="77777777" w:rsidTr="003E1F68">
        <w:tc>
          <w:tcPr>
            <w:tcW w:w="7020" w:type="dxa"/>
          </w:tcPr>
          <w:p w14:paraId="69981DAF" w14:textId="77777777" w:rsidR="003D07CA" w:rsidRPr="007C7C6F" w:rsidRDefault="003D07CA" w:rsidP="00525B7F">
            <w:pPr>
              <w:pStyle w:val="Checklist1"/>
              <w:numPr>
                <w:ilvl w:val="0"/>
                <w:numId w:val="97"/>
              </w:numPr>
              <w:tabs>
                <w:tab w:val="clear" w:pos="720"/>
                <w:tab w:val="num" w:pos="1242"/>
              </w:tabs>
              <w:spacing w:before="40" w:after="40"/>
              <w:ind w:left="1242"/>
              <w:rPr>
                <w:rFonts w:ascii="Arial" w:hAnsi="Arial" w:cs="Arial"/>
                <w:sz w:val="18"/>
                <w:szCs w:val="18"/>
              </w:rPr>
            </w:pPr>
            <w:r w:rsidRPr="00637580">
              <w:rPr>
                <w:rFonts w:ascii="Arial" w:hAnsi="Arial" w:cs="Arial"/>
                <w:sz w:val="18"/>
                <w:szCs w:val="18"/>
              </w:rPr>
              <w:t>The conditions under which the fee may be imposed.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003A79D1">
              <w:rPr>
                <w:rFonts w:ascii="Arial" w:hAnsi="Arial" w:cs="Arial"/>
                <w:sz w:val="18"/>
                <w:szCs w:val="18"/>
              </w:rPr>
              <w:t>1005.20(f)(1)</w:t>
            </w:r>
            <w:r w:rsidRPr="007C7C6F">
              <w:rPr>
                <w:rFonts w:ascii="Arial" w:hAnsi="Arial" w:cs="Arial"/>
                <w:sz w:val="18"/>
                <w:szCs w:val="18"/>
              </w:rPr>
              <w:t>(iii))</w:t>
            </w:r>
          </w:p>
        </w:tc>
        <w:tc>
          <w:tcPr>
            <w:tcW w:w="660" w:type="dxa"/>
            <w:gridSpan w:val="2"/>
          </w:tcPr>
          <w:p w14:paraId="69981DB0" w14:textId="77777777" w:rsidR="003D07CA" w:rsidRPr="007C7C6F" w:rsidRDefault="003D07CA" w:rsidP="003E1F68">
            <w:pPr>
              <w:spacing w:before="40" w:after="40"/>
              <w:jc w:val="center"/>
              <w:rPr>
                <w:rFonts w:ascii="Arial" w:hAnsi="Arial" w:cs="Arial"/>
                <w:sz w:val="18"/>
                <w:szCs w:val="18"/>
              </w:rPr>
            </w:pPr>
          </w:p>
        </w:tc>
        <w:tc>
          <w:tcPr>
            <w:tcW w:w="660" w:type="dxa"/>
            <w:gridSpan w:val="2"/>
          </w:tcPr>
          <w:p w14:paraId="69981DB1" w14:textId="77777777" w:rsidR="003D07CA" w:rsidRPr="00637580" w:rsidRDefault="003D07CA" w:rsidP="003E1F68">
            <w:pPr>
              <w:spacing w:before="40" w:after="40"/>
              <w:jc w:val="center"/>
              <w:rPr>
                <w:rFonts w:ascii="Arial" w:hAnsi="Arial" w:cs="Arial"/>
                <w:sz w:val="18"/>
                <w:szCs w:val="18"/>
              </w:rPr>
            </w:pPr>
          </w:p>
        </w:tc>
        <w:tc>
          <w:tcPr>
            <w:tcW w:w="660" w:type="dxa"/>
          </w:tcPr>
          <w:p w14:paraId="69981DB2" w14:textId="77777777" w:rsidR="003D07CA" w:rsidRPr="00637580" w:rsidRDefault="003D07CA" w:rsidP="003E1F68">
            <w:pPr>
              <w:spacing w:before="40" w:after="40"/>
              <w:jc w:val="center"/>
              <w:rPr>
                <w:rFonts w:ascii="Arial" w:hAnsi="Arial" w:cs="Arial"/>
                <w:sz w:val="18"/>
                <w:szCs w:val="18"/>
              </w:rPr>
            </w:pPr>
          </w:p>
        </w:tc>
      </w:tr>
      <w:tr w:rsidR="003D07CA" w:rsidRPr="00637580" w14:paraId="69981DB8" w14:textId="77777777" w:rsidTr="00C0379C">
        <w:tc>
          <w:tcPr>
            <w:tcW w:w="7020" w:type="dxa"/>
            <w:tcBorders>
              <w:bottom w:val="single" w:sz="4" w:space="0" w:color="auto"/>
            </w:tcBorders>
          </w:tcPr>
          <w:p w14:paraId="69981DB4" w14:textId="77777777" w:rsidR="003D07CA" w:rsidRPr="00637580" w:rsidRDefault="003D07CA" w:rsidP="00525B7F">
            <w:pPr>
              <w:pStyle w:val="Checklist1"/>
              <w:numPr>
                <w:ilvl w:val="0"/>
                <w:numId w:val="110"/>
              </w:numPr>
              <w:spacing w:before="40" w:after="40"/>
              <w:rPr>
                <w:rFonts w:ascii="Arial" w:hAnsi="Arial" w:cs="Arial"/>
                <w:sz w:val="18"/>
                <w:szCs w:val="18"/>
              </w:rPr>
            </w:pPr>
            <w:r w:rsidRPr="00637580">
              <w:rPr>
                <w:rFonts w:ascii="Arial" w:hAnsi="Arial" w:cs="Arial"/>
                <w:sz w:val="18"/>
                <w:szCs w:val="18"/>
              </w:rPr>
              <w:t>A toll-free telephone number and, if one is maintained, a Web site, that a consumer may use to obtain information about dormancy, inactivity, service, or each type of fee that may be imposed in connection with the certificate or card. (12 CFR 1005.20(f)(2))</w:t>
            </w:r>
          </w:p>
        </w:tc>
        <w:tc>
          <w:tcPr>
            <w:tcW w:w="660" w:type="dxa"/>
            <w:gridSpan w:val="2"/>
            <w:tcBorders>
              <w:bottom w:val="single" w:sz="4" w:space="0" w:color="auto"/>
            </w:tcBorders>
          </w:tcPr>
          <w:p w14:paraId="69981DB5" w14:textId="77777777" w:rsidR="003D07CA" w:rsidRPr="00637580" w:rsidRDefault="003D07CA" w:rsidP="003E1F68">
            <w:pPr>
              <w:spacing w:before="40" w:after="40"/>
              <w:jc w:val="center"/>
              <w:rPr>
                <w:rFonts w:ascii="Arial" w:hAnsi="Arial" w:cs="Arial"/>
                <w:sz w:val="18"/>
                <w:szCs w:val="18"/>
              </w:rPr>
            </w:pPr>
          </w:p>
        </w:tc>
        <w:tc>
          <w:tcPr>
            <w:tcW w:w="660" w:type="dxa"/>
            <w:gridSpan w:val="2"/>
            <w:tcBorders>
              <w:bottom w:val="single" w:sz="4" w:space="0" w:color="auto"/>
            </w:tcBorders>
          </w:tcPr>
          <w:p w14:paraId="69981DB6"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B7" w14:textId="77777777" w:rsidR="003D07CA" w:rsidRPr="00637580" w:rsidRDefault="003D07CA" w:rsidP="003E1F68">
            <w:pPr>
              <w:spacing w:before="40" w:after="40"/>
              <w:rPr>
                <w:rFonts w:ascii="Arial" w:hAnsi="Arial" w:cs="Arial"/>
                <w:sz w:val="18"/>
                <w:szCs w:val="18"/>
              </w:rPr>
            </w:pPr>
          </w:p>
        </w:tc>
      </w:tr>
      <w:tr w:rsidR="003D07CA" w:rsidRPr="00637580" w14:paraId="69981DBD" w14:textId="77777777" w:rsidTr="00C0379C">
        <w:tc>
          <w:tcPr>
            <w:tcW w:w="7020" w:type="dxa"/>
            <w:shd w:val="clear" w:color="auto" w:fill="000000" w:themeFill="text1"/>
          </w:tcPr>
          <w:p w14:paraId="69981DB9" w14:textId="77777777" w:rsidR="003D07CA" w:rsidRPr="00637580" w:rsidRDefault="003D07CA" w:rsidP="00C0379C">
            <w:pPr>
              <w:spacing w:before="40" w:after="40"/>
              <w:jc w:val="center"/>
              <w:rPr>
                <w:rFonts w:ascii="Arial" w:hAnsi="Arial" w:cs="Arial"/>
                <w:b/>
                <w:sz w:val="18"/>
                <w:szCs w:val="18"/>
              </w:rPr>
            </w:pPr>
            <w:r w:rsidRPr="00637580">
              <w:rPr>
                <w:rFonts w:ascii="Arial" w:hAnsi="Arial" w:cs="Arial"/>
                <w:b/>
                <w:sz w:val="18"/>
                <w:szCs w:val="18"/>
              </w:rPr>
              <w:t>Subpart B – Requirements for Remittance Transfers</w:t>
            </w:r>
          </w:p>
        </w:tc>
        <w:tc>
          <w:tcPr>
            <w:tcW w:w="480" w:type="dxa"/>
            <w:shd w:val="clear" w:color="auto" w:fill="000000" w:themeFill="text1"/>
          </w:tcPr>
          <w:p w14:paraId="69981DBA" w14:textId="77777777" w:rsidR="003D07CA" w:rsidRPr="00637580" w:rsidRDefault="003D07CA" w:rsidP="003E1F68">
            <w:pPr>
              <w:spacing w:before="40" w:after="40"/>
              <w:jc w:val="center"/>
              <w:rPr>
                <w:rFonts w:ascii="Arial" w:hAnsi="Arial" w:cs="Arial"/>
                <w:sz w:val="18"/>
                <w:szCs w:val="18"/>
              </w:rPr>
            </w:pPr>
          </w:p>
        </w:tc>
        <w:tc>
          <w:tcPr>
            <w:tcW w:w="750" w:type="dxa"/>
            <w:gridSpan w:val="2"/>
            <w:shd w:val="clear" w:color="auto" w:fill="000000" w:themeFill="text1"/>
          </w:tcPr>
          <w:p w14:paraId="69981DBB" w14:textId="77777777" w:rsidR="003D07CA" w:rsidRPr="00637580" w:rsidRDefault="003D07CA" w:rsidP="003E1F68">
            <w:pPr>
              <w:spacing w:before="40" w:after="40"/>
              <w:jc w:val="center"/>
              <w:rPr>
                <w:rFonts w:ascii="Arial" w:hAnsi="Arial" w:cs="Arial"/>
                <w:sz w:val="18"/>
                <w:szCs w:val="18"/>
              </w:rPr>
            </w:pPr>
          </w:p>
        </w:tc>
        <w:tc>
          <w:tcPr>
            <w:tcW w:w="750" w:type="dxa"/>
            <w:gridSpan w:val="2"/>
            <w:shd w:val="clear" w:color="auto" w:fill="000000" w:themeFill="text1"/>
          </w:tcPr>
          <w:p w14:paraId="69981DBC" w14:textId="77777777" w:rsidR="003D07CA" w:rsidRPr="00637580" w:rsidRDefault="003D07CA" w:rsidP="003E1F68">
            <w:pPr>
              <w:spacing w:before="40" w:after="40"/>
              <w:jc w:val="center"/>
              <w:rPr>
                <w:rFonts w:ascii="Arial" w:hAnsi="Arial" w:cs="Arial"/>
                <w:sz w:val="18"/>
                <w:szCs w:val="18"/>
              </w:rPr>
            </w:pPr>
          </w:p>
        </w:tc>
      </w:tr>
      <w:tr w:rsidR="003D07CA" w:rsidRPr="00637580" w14:paraId="69981DC2" w14:textId="77777777" w:rsidTr="003E1F68">
        <w:tc>
          <w:tcPr>
            <w:tcW w:w="7020" w:type="dxa"/>
          </w:tcPr>
          <w:p w14:paraId="69981DBE" w14:textId="77777777" w:rsidR="003D07CA" w:rsidRPr="00637580" w:rsidRDefault="003D07CA" w:rsidP="00525B7F">
            <w:pPr>
              <w:pStyle w:val="ListParagraph"/>
              <w:numPr>
                <w:ilvl w:val="0"/>
                <w:numId w:val="101"/>
              </w:numPr>
              <w:spacing w:before="40" w:after="40"/>
              <w:ind w:left="522" w:hanging="522"/>
              <w:rPr>
                <w:rFonts w:ascii="Arial" w:hAnsi="Arial" w:cs="Arial"/>
                <w:sz w:val="18"/>
                <w:szCs w:val="18"/>
              </w:rPr>
            </w:pPr>
            <w:r w:rsidRPr="00637580">
              <w:rPr>
                <w:rFonts w:ascii="Arial" w:hAnsi="Arial" w:cs="Arial"/>
                <w:sz w:val="18"/>
                <w:szCs w:val="18"/>
              </w:rPr>
              <w:t xml:space="preserve">Does the provider offer remittance transfers in the normal course of business? </w:t>
            </w:r>
          </w:p>
        </w:tc>
        <w:tc>
          <w:tcPr>
            <w:tcW w:w="660" w:type="dxa"/>
            <w:gridSpan w:val="2"/>
          </w:tcPr>
          <w:p w14:paraId="69981DBF"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DC0" w14:textId="77777777" w:rsidR="003D07CA" w:rsidRPr="00637580" w:rsidRDefault="003D07CA" w:rsidP="003E1F68">
            <w:pPr>
              <w:spacing w:before="40" w:after="40"/>
              <w:jc w:val="center"/>
              <w:rPr>
                <w:rFonts w:ascii="Arial" w:hAnsi="Arial" w:cs="Arial"/>
                <w:sz w:val="18"/>
                <w:szCs w:val="18"/>
              </w:rPr>
            </w:pPr>
          </w:p>
        </w:tc>
        <w:tc>
          <w:tcPr>
            <w:tcW w:w="660" w:type="dxa"/>
          </w:tcPr>
          <w:p w14:paraId="69981DC1" w14:textId="77777777" w:rsidR="003D07CA" w:rsidRPr="00637580" w:rsidRDefault="003D07CA" w:rsidP="003E1F68">
            <w:pPr>
              <w:spacing w:before="40" w:after="40"/>
              <w:jc w:val="center"/>
              <w:rPr>
                <w:rFonts w:ascii="Arial" w:hAnsi="Arial" w:cs="Arial"/>
                <w:sz w:val="18"/>
                <w:szCs w:val="18"/>
              </w:rPr>
            </w:pPr>
          </w:p>
        </w:tc>
      </w:tr>
      <w:tr w:rsidR="003D07CA" w:rsidRPr="00637580" w14:paraId="69981DC7" w14:textId="77777777" w:rsidTr="003E1F68">
        <w:tc>
          <w:tcPr>
            <w:tcW w:w="7020" w:type="dxa"/>
          </w:tcPr>
          <w:p w14:paraId="69981DC3" w14:textId="77777777" w:rsidR="003D07CA" w:rsidRPr="00637580" w:rsidRDefault="003D07CA" w:rsidP="00525B7F">
            <w:pPr>
              <w:pStyle w:val="ListParagraph"/>
              <w:widowControl w:val="0"/>
              <w:numPr>
                <w:ilvl w:val="0"/>
                <w:numId w:val="110"/>
              </w:numPr>
              <w:autoSpaceDE w:val="0"/>
              <w:autoSpaceDN w:val="0"/>
              <w:adjustRightInd w:val="0"/>
              <w:spacing w:before="40" w:after="40"/>
              <w:rPr>
                <w:rFonts w:ascii="Arial" w:hAnsi="Arial" w:cs="Arial"/>
                <w:sz w:val="18"/>
                <w:szCs w:val="18"/>
              </w:rPr>
            </w:pPr>
            <w:r w:rsidRPr="00637580">
              <w:rPr>
                <w:rFonts w:ascii="Arial" w:hAnsi="Arial" w:cs="Arial"/>
                <w:sz w:val="18"/>
                <w:szCs w:val="18"/>
              </w:rPr>
              <w:t xml:space="preserve">If the provider deems itself to not offer remittance transfers in the normal course of business as a result of the 100-transfer safe harbor, </w:t>
            </w:r>
            <w:r w:rsidR="002A0522">
              <w:rPr>
                <w:rFonts w:ascii="Arial" w:hAnsi="Arial" w:cs="Arial"/>
                <w:sz w:val="18"/>
                <w:szCs w:val="18"/>
              </w:rPr>
              <w:t>is</w:t>
            </w:r>
            <w:r w:rsidRPr="00637580">
              <w:rPr>
                <w:rFonts w:ascii="Arial" w:hAnsi="Arial" w:cs="Arial"/>
                <w:sz w:val="18"/>
                <w:szCs w:val="18"/>
              </w:rPr>
              <w:t xml:space="preserve"> the provider’s method for counting transactions appropriate? </w:t>
            </w:r>
          </w:p>
        </w:tc>
        <w:tc>
          <w:tcPr>
            <w:tcW w:w="660" w:type="dxa"/>
            <w:gridSpan w:val="2"/>
            <w:tcBorders>
              <w:bottom w:val="single" w:sz="4" w:space="0" w:color="auto"/>
            </w:tcBorders>
          </w:tcPr>
          <w:p w14:paraId="69981DC4" w14:textId="77777777" w:rsidR="003D07CA" w:rsidRPr="00637580" w:rsidRDefault="003D07CA" w:rsidP="003E1F68">
            <w:pPr>
              <w:spacing w:before="40" w:after="40"/>
              <w:jc w:val="center"/>
              <w:rPr>
                <w:rFonts w:ascii="Arial" w:hAnsi="Arial" w:cs="Arial"/>
                <w:sz w:val="18"/>
                <w:szCs w:val="18"/>
              </w:rPr>
            </w:pPr>
          </w:p>
        </w:tc>
        <w:tc>
          <w:tcPr>
            <w:tcW w:w="660" w:type="dxa"/>
            <w:gridSpan w:val="2"/>
            <w:tcBorders>
              <w:bottom w:val="single" w:sz="4" w:space="0" w:color="auto"/>
            </w:tcBorders>
          </w:tcPr>
          <w:p w14:paraId="69981DC5"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C6" w14:textId="77777777" w:rsidR="003D07CA" w:rsidRPr="00637580" w:rsidRDefault="003D07CA" w:rsidP="003E1F68">
            <w:pPr>
              <w:spacing w:before="40" w:after="40"/>
              <w:jc w:val="center"/>
              <w:rPr>
                <w:rFonts w:ascii="Arial" w:hAnsi="Arial" w:cs="Arial"/>
                <w:sz w:val="18"/>
                <w:szCs w:val="18"/>
              </w:rPr>
            </w:pPr>
          </w:p>
        </w:tc>
      </w:tr>
      <w:tr w:rsidR="003D07CA" w:rsidRPr="00637580" w14:paraId="69981DCC" w14:textId="77777777" w:rsidTr="003E1F68">
        <w:tc>
          <w:tcPr>
            <w:tcW w:w="7020" w:type="dxa"/>
          </w:tcPr>
          <w:p w14:paraId="69981DC8" w14:textId="77777777" w:rsidR="003D07CA" w:rsidRPr="00637580" w:rsidRDefault="003D07CA" w:rsidP="003E1F68">
            <w:pPr>
              <w:spacing w:before="40" w:after="40"/>
              <w:ind w:left="522"/>
              <w:rPr>
                <w:rFonts w:ascii="Arial" w:hAnsi="Arial" w:cs="Arial"/>
                <w:i/>
                <w:sz w:val="18"/>
                <w:szCs w:val="18"/>
              </w:rPr>
            </w:pPr>
            <w:r w:rsidRPr="00637580">
              <w:rPr>
                <w:rFonts w:ascii="Arial" w:hAnsi="Arial" w:cs="Arial"/>
                <w:i/>
                <w:sz w:val="18"/>
                <w:szCs w:val="18"/>
              </w:rPr>
              <w:t xml:space="preserve">Complete the rest of the checklist if the provider offers remittance transfers in the normal course of business. </w:t>
            </w:r>
          </w:p>
        </w:tc>
        <w:tc>
          <w:tcPr>
            <w:tcW w:w="660" w:type="dxa"/>
            <w:gridSpan w:val="2"/>
            <w:shd w:val="clear" w:color="auto" w:fill="D9D9D9" w:themeFill="background1" w:themeFillShade="D9"/>
          </w:tcPr>
          <w:p w14:paraId="69981DC9" w14:textId="77777777" w:rsidR="003D07CA" w:rsidRPr="00637580" w:rsidRDefault="003D07CA" w:rsidP="003E1F68">
            <w:pPr>
              <w:spacing w:before="40" w:after="40"/>
              <w:jc w:val="center"/>
              <w:rPr>
                <w:rFonts w:ascii="Arial" w:hAnsi="Arial" w:cs="Arial"/>
                <w:sz w:val="18"/>
                <w:szCs w:val="18"/>
              </w:rPr>
            </w:pPr>
          </w:p>
        </w:tc>
        <w:tc>
          <w:tcPr>
            <w:tcW w:w="660" w:type="dxa"/>
            <w:gridSpan w:val="2"/>
            <w:shd w:val="clear" w:color="auto" w:fill="D9D9D9" w:themeFill="background1" w:themeFillShade="D9"/>
          </w:tcPr>
          <w:p w14:paraId="69981DCA"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CB" w14:textId="77777777" w:rsidR="003D07CA" w:rsidRPr="00637580" w:rsidRDefault="003D07CA" w:rsidP="003E1F68">
            <w:pPr>
              <w:spacing w:before="40" w:after="40"/>
              <w:jc w:val="center"/>
              <w:rPr>
                <w:rFonts w:ascii="Arial" w:hAnsi="Arial" w:cs="Arial"/>
                <w:sz w:val="18"/>
                <w:szCs w:val="18"/>
              </w:rPr>
            </w:pPr>
          </w:p>
        </w:tc>
      </w:tr>
      <w:tr w:rsidR="003D07CA" w:rsidRPr="00637580" w14:paraId="69981DD1" w14:textId="77777777" w:rsidTr="003E1F68">
        <w:tc>
          <w:tcPr>
            <w:tcW w:w="7020" w:type="dxa"/>
          </w:tcPr>
          <w:p w14:paraId="69981DCD" w14:textId="77777777" w:rsidR="003D07CA" w:rsidRPr="00637580" w:rsidRDefault="003D07CA" w:rsidP="00525B7F">
            <w:pPr>
              <w:pStyle w:val="ListParagraph"/>
              <w:numPr>
                <w:ilvl w:val="0"/>
                <w:numId w:val="101"/>
              </w:numPr>
              <w:spacing w:before="40" w:after="40"/>
              <w:ind w:left="522" w:hanging="522"/>
              <w:rPr>
                <w:rFonts w:ascii="Arial" w:hAnsi="Arial" w:cs="Arial"/>
                <w:sz w:val="18"/>
                <w:szCs w:val="18"/>
              </w:rPr>
            </w:pPr>
            <w:r w:rsidRPr="00637580">
              <w:rPr>
                <w:rFonts w:ascii="Arial" w:hAnsi="Arial" w:cs="Arial"/>
                <w:sz w:val="18"/>
                <w:szCs w:val="18"/>
              </w:rPr>
              <w:t>Does the provider have written policies and operating procedures that govern its remittance transfer operations?</w:t>
            </w:r>
          </w:p>
        </w:tc>
        <w:tc>
          <w:tcPr>
            <w:tcW w:w="660" w:type="dxa"/>
            <w:gridSpan w:val="2"/>
          </w:tcPr>
          <w:p w14:paraId="69981DCE"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DCF" w14:textId="77777777" w:rsidR="003D07CA" w:rsidRPr="00637580" w:rsidRDefault="003D07CA" w:rsidP="003E1F68">
            <w:pPr>
              <w:spacing w:before="40" w:after="40"/>
              <w:jc w:val="center"/>
              <w:rPr>
                <w:rFonts w:ascii="Arial" w:hAnsi="Arial" w:cs="Arial"/>
                <w:sz w:val="18"/>
                <w:szCs w:val="18"/>
              </w:rPr>
            </w:pPr>
          </w:p>
        </w:tc>
        <w:tc>
          <w:tcPr>
            <w:tcW w:w="660" w:type="dxa"/>
          </w:tcPr>
          <w:p w14:paraId="69981DD0" w14:textId="77777777" w:rsidR="003D07CA" w:rsidRPr="00637580" w:rsidRDefault="003D07CA" w:rsidP="003E1F68">
            <w:pPr>
              <w:spacing w:before="40" w:after="40"/>
              <w:jc w:val="center"/>
              <w:rPr>
                <w:rFonts w:ascii="Arial" w:hAnsi="Arial" w:cs="Arial"/>
                <w:sz w:val="18"/>
                <w:szCs w:val="18"/>
              </w:rPr>
            </w:pPr>
          </w:p>
        </w:tc>
      </w:tr>
      <w:tr w:rsidR="003D07CA" w:rsidRPr="00637580" w14:paraId="69981DD6" w14:textId="77777777" w:rsidTr="003E1F68">
        <w:tc>
          <w:tcPr>
            <w:tcW w:w="7020" w:type="dxa"/>
          </w:tcPr>
          <w:p w14:paraId="69981DD2" w14:textId="77777777" w:rsidR="003D07CA" w:rsidRPr="00637580" w:rsidRDefault="003D07CA" w:rsidP="00525B7F">
            <w:pPr>
              <w:pStyle w:val="ListParagraph"/>
              <w:numPr>
                <w:ilvl w:val="0"/>
                <w:numId w:val="101"/>
              </w:numPr>
              <w:spacing w:before="40" w:after="40"/>
              <w:ind w:left="522" w:hanging="522"/>
              <w:rPr>
                <w:rFonts w:ascii="Arial" w:hAnsi="Arial" w:cs="Arial"/>
                <w:sz w:val="18"/>
                <w:szCs w:val="18"/>
              </w:rPr>
            </w:pPr>
            <w:r w:rsidRPr="00637580">
              <w:rPr>
                <w:rFonts w:ascii="Arial" w:hAnsi="Arial" w:cs="Arial"/>
                <w:sz w:val="18"/>
                <w:szCs w:val="18"/>
              </w:rPr>
              <w:t xml:space="preserve">Do these policies and procedures adequately address the requirements of subpart B? </w:t>
            </w:r>
          </w:p>
        </w:tc>
        <w:tc>
          <w:tcPr>
            <w:tcW w:w="660" w:type="dxa"/>
            <w:gridSpan w:val="2"/>
          </w:tcPr>
          <w:p w14:paraId="69981DD3"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DD4" w14:textId="77777777" w:rsidR="003D07CA" w:rsidRPr="00637580" w:rsidRDefault="003D07CA" w:rsidP="003E1F68">
            <w:pPr>
              <w:spacing w:before="40" w:after="40"/>
              <w:jc w:val="center"/>
              <w:rPr>
                <w:rFonts w:ascii="Arial" w:hAnsi="Arial" w:cs="Arial"/>
                <w:sz w:val="18"/>
                <w:szCs w:val="18"/>
              </w:rPr>
            </w:pPr>
          </w:p>
        </w:tc>
        <w:tc>
          <w:tcPr>
            <w:tcW w:w="660" w:type="dxa"/>
          </w:tcPr>
          <w:p w14:paraId="69981DD5" w14:textId="77777777" w:rsidR="003D07CA" w:rsidRPr="00637580" w:rsidRDefault="003D07CA" w:rsidP="003E1F68">
            <w:pPr>
              <w:spacing w:before="40" w:after="40"/>
              <w:jc w:val="center"/>
              <w:rPr>
                <w:rFonts w:ascii="Arial" w:hAnsi="Arial" w:cs="Arial"/>
                <w:sz w:val="18"/>
                <w:szCs w:val="18"/>
              </w:rPr>
            </w:pPr>
          </w:p>
        </w:tc>
      </w:tr>
      <w:tr w:rsidR="003D07CA" w:rsidRPr="00637580" w14:paraId="69981DDB" w14:textId="77777777" w:rsidTr="003E1F68">
        <w:tc>
          <w:tcPr>
            <w:tcW w:w="7020" w:type="dxa"/>
            <w:tcBorders>
              <w:bottom w:val="single" w:sz="4" w:space="0" w:color="auto"/>
            </w:tcBorders>
          </w:tcPr>
          <w:p w14:paraId="69981DD7" w14:textId="77777777" w:rsidR="003D07CA" w:rsidRPr="00637580" w:rsidRDefault="003D07CA" w:rsidP="00525B7F">
            <w:pPr>
              <w:pStyle w:val="ListParagraph"/>
              <w:numPr>
                <w:ilvl w:val="0"/>
                <w:numId w:val="101"/>
              </w:numPr>
              <w:spacing w:before="40" w:after="40"/>
              <w:ind w:left="522" w:hanging="522"/>
              <w:rPr>
                <w:rFonts w:ascii="Arial" w:hAnsi="Arial" w:cs="Arial"/>
                <w:sz w:val="18"/>
                <w:szCs w:val="18"/>
              </w:rPr>
            </w:pPr>
            <w:r w:rsidRPr="00637580">
              <w:rPr>
                <w:rFonts w:ascii="Arial" w:hAnsi="Arial" w:cs="Arial"/>
                <w:sz w:val="18"/>
                <w:szCs w:val="18"/>
              </w:rPr>
              <w:t>Are the provider’s personnel who are involved in remittance transfer operations knowledgeable about the requirements of subpart B?</w:t>
            </w:r>
          </w:p>
        </w:tc>
        <w:tc>
          <w:tcPr>
            <w:tcW w:w="660" w:type="dxa"/>
            <w:gridSpan w:val="2"/>
            <w:tcBorders>
              <w:bottom w:val="single" w:sz="4" w:space="0" w:color="auto"/>
            </w:tcBorders>
          </w:tcPr>
          <w:p w14:paraId="69981DD8" w14:textId="77777777" w:rsidR="003D07CA" w:rsidRPr="00637580" w:rsidRDefault="003D07CA" w:rsidP="003E1F68">
            <w:pPr>
              <w:spacing w:before="40" w:after="40"/>
              <w:jc w:val="center"/>
              <w:rPr>
                <w:rFonts w:ascii="Arial" w:hAnsi="Arial" w:cs="Arial"/>
                <w:sz w:val="18"/>
                <w:szCs w:val="18"/>
              </w:rPr>
            </w:pPr>
          </w:p>
        </w:tc>
        <w:tc>
          <w:tcPr>
            <w:tcW w:w="660" w:type="dxa"/>
            <w:gridSpan w:val="2"/>
            <w:tcBorders>
              <w:bottom w:val="single" w:sz="4" w:space="0" w:color="auto"/>
            </w:tcBorders>
          </w:tcPr>
          <w:p w14:paraId="69981DD9"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DA" w14:textId="77777777" w:rsidR="003D07CA" w:rsidRPr="00637580" w:rsidRDefault="003D07CA" w:rsidP="003E1F68">
            <w:pPr>
              <w:spacing w:before="40" w:after="40"/>
              <w:jc w:val="center"/>
              <w:rPr>
                <w:rFonts w:ascii="Arial" w:hAnsi="Arial" w:cs="Arial"/>
                <w:sz w:val="18"/>
                <w:szCs w:val="18"/>
              </w:rPr>
            </w:pPr>
          </w:p>
        </w:tc>
      </w:tr>
      <w:tr w:rsidR="003D07CA" w:rsidRPr="00637580" w14:paraId="69981DE1" w14:textId="77777777" w:rsidTr="003E1F68">
        <w:tc>
          <w:tcPr>
            <w:tcW w:w="7020" w:type="dxa"/>
            <w:shd w:val="clear" w:color="auto" w:fill="D9D9D9" w:themeFill="background1" w:themeFillShade="D9"/>
          </w:tcPr>
          <w:p w14:paraId="69981DDC" w14:textId="77777777" w:rsidR="003D07CA" w:rsidRPr="00637580" w:rsidRDefault="003D07CA" w:rsidP="003E1F68">
            <w:pPr>
              <w:spacing w:before="40" w:after="40"/>
              <w:rPr>
                <w:rFonts w:ascii="Arial" w:hAnsi="Arial" w:cs="Arial"/>
                <w:b/>
                <w:sz w:val="18"/>
                <w:szCs w:val="18"/>
              </w:rPr>
            </w:pPr>
            <w:r w:rsidRPr="00637580">
              <w:rPr>
                <w:rFonts w:ascii="Arial" w:hAnsi="Arial" w:cs="Arial"/>
                <w:b/>
                <w:sz w:val="18"/>
                <w:szCs w:val="18"/>
              </w:rPr>
              <w:t>12</w:t>
            </w:r>
            <w:r w:rsidR="00025C7B">
              <w:rPr>
                <w:rFonts w:ascii="Arial" w:hAnsi="Arial" w:cs="Arial"/>
                <w:b/>
                <w:sz w:val="18"/>
                <w:szCs w:val="18"/>
              </w:rPr>
              <w:t xml:space="preserve"> </w:t>
            </w:r>
            <w:r w:rsidRPr="00637580">
              <w:rPr>
                <w:rFonts w:ascii="Arial" w:hAnsi="Arial" w:cs="Arial"/>
                <w:b/>
                <w:sz w:val="18"/>
                <w:szCs w:val="18"/>
              </w:rPr>
              <w:t>CFR 1005.31 – Disclosures</w:t>
            </w:r>
          </w:p>
          <w:p w14:paraId="69981DDD" w14:textId="77777777" w:rsidR="003D07CA" w:rsidRPr="00637580" w:rsidRDefault="003D07CA" w:rsidP="003E1F68">
            <w:pPr>
              <w:spacing w:before="40" w:after="40"/>
              <w:rPr>
                <w:rFonts w:ascii="Arial" w:hAnsi="Arial" w:cs="Arial"/>
                <w:sz w:val="18"/>
                <w:szCs w:val="18"/>
              </w:rPr>
            </w:pPr>
            <w:r w:rsidRPr="00637580">
              <w:rPr>
                <w:rFonts w:ascii="Arial" w:hAnsi="Arial" w:cs="Arial"/>
                <w:sz w:val="18"/>
                <w:szCs w:val="18"/>
              </w:rPr>
              <w:t>(Unless otherwise indicated, the disclosure requirements apply to all remittance transfer transactions, including those scheduled before the date of transfer.)</w:t>
            </w:r>
          </w:p>
        </w:tc>
        <w:tc>
          <w:tcPr>
            <w:tcW w:w="660" w:type="dxa"/>
            <w:gridSpan w:val="2"/>
            <w:shd w:val="clear" w:color="auto" w:fill="D9D9D9" w:themeFill="background1" w:themeFillShade="D9"/>
          </w:tcPr>
          <w:p w14:paraId="69981DDE" w14:textId="77777777" w:rsidR="003D07CA" w:rsidRPr="00637580" w:rsidRDefault="003D07CA" w:rsidP="003E1F68">
            <w:pPr>
              <w:spacing w:before="40" w:after="40"/>
              <w:jc w:val="center"/>
              <w:rPr>
                <w:rFonts w:ascii="Arial" w:hAnsi="Arial" w:cs="Arial"/>
                <w:sz w:val="18"/>
                <w:szCs w:val="18"/>
              </w:rPr>
            </w:pPr>
          </w:p>
        </w:tc>
        <w:tc>
          <w:tcPr>
            <w:tcW w:w="660" w:type="dxa"/>
            <w:gridSpan w:val="2"/>
            <w:shd w:val="clear" w:color="auto" w:fill="D9D9D9" w:themeFill="background1" w:themeFillShade="D9"/>
          </w:tcPr>
          <w:p w14:paraId="69981DDF"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E0" w14:textId="77777777" w:rsidR="003D07CA" w:rsidRPr="00637580" w:rsidRDefault="003D07CA" w:rsidP="003E1F68">
            <w:pPr>
              <w:spacing w:before="40" w:after="40"/>
              <w:jc w:val="center"/>
              <w:rPr>
                <w:rFonts w:ascii="Arial" w:hAnsi="Arial" w:cs="Arial"/>
                <w:sz w:val="18"/>
                <w:szCs w:val="18"/>
              </w:rPr>
            </w:pPr>
          </w:p>
        </w:tc>
      </w:tr>
      <w:tr w:rsidR="003D07CA" w:rsidRPr="00637580" w14:paraId="69981DE8" w14:textId="77777777" w:rsidTr="003E1F68">
        <w:tc>
          <w:tcPr>
            <w:tcW w:w="7020" w:type="dxa"/>
          </w:tcPr>
          <w:p w14:paraId="69981DE2" w14:textId="77777777" w:rsidR="003D07CA" w:rsidRPr="007C7C6F" w:rsidRDefault="003D07CA" w:rsidP="00525B7F">
            <w:pPr>
              <w:pStyle w:val="ListParagraph"/>
              <w:numPr>
                <w:ilvl w:val="0"/>
                <w:numId w:val="101"/>
              </w:numPr>
              <w:spacing w:before="40" w:after="40"/>
              <w:ind w:left="522" w:hanging="540"/>
              <w:rPr>
                <w:rFonts w:ascii="Arial" w:hAnsi="Arial" w:cs="Arial"/>
                <w:sz w:val="18"/>
                <w:szCs w:val="18"/>
              </w:rPr>
            </w:pPr>
            <w:r w:rsidRPr="00637580">
              <w:rPr>
                <w:rFonts w:ascii="Arial" w:hAnsi="Arial" w:cs="Arial"/>
                <w:sz w:val="18"/>
                <w:szCs w:val="18"/>
              </w:rPr>
              <w:t>Does the provider provide prepayment disclosures and receipts or combined disclosures to its remittance transfer customers?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1005.31(b)(1), (2), and (3))</w:t>
            </w:r>
          </w:p>
          <w:p w14:paraId="69981DE3" w14:textId="77777777" w:rsidR="003D07CA" w:rsidRPr="00637580" w:rsidRDefault="003D07CA" w:rsidP="003E1F68">
            <w:pPr>
              <w:spacing w:before="40" w:after="40"/>
              <w:ind w:left="522"/>
              <w:rPr>
                <w:rFonts w:ascii="Arial" w:hAnsi="Arial" w:cs="Arial"/>
                <w:sz w:val="18"/>
                <w:szCs w:val="18"/>
              </w:rPr>
            </w:pPr>
          </w:p>
          <w:p w14:paraId="69981DE4" w14:textId="77777777" w:rsidR="003D07CA" w:rsidRPr="00637580" w:rsidRDefault="003D07CA" w:rsidP="003E1F68">
            <w:pPr>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w:t>
            </w:r>
            <w:r w:rsidR="00197862">
              <w:rPr>
                <w:rFonts w:ascii="Arial" w:hAnsi="Arial" w:cs="Arial"/>
                <w:sz w:val="18"/>
                <w:szCs w:val="18"/>
              </w:rPr>
              <w:t>S</w:t>
            </w:r>
            <w:r w:rsidRPr="00637580">
              <w:rPr>
                <w:rFonts w:ascii="Arial" w:hAnsi="Arial" w:cs="Arial"/>
                <w:sz w:val="18"/>
                <w:szCs w:val="18"/>
              </w:rPr>
              <w:t>pecific content of disclosures are addressed below</w:t>
            </w:r>
            <w:r w:rsidR="00197862">
              <w:rPr>
                <w:rFonts w:ascii="Arial" w:hAnsi="Arial" w:cs="Arial"/>
                <w:sz w:val="18"/>
                <w:szCs w:val="18"/>
              </w:rPr>
              <w:t>.</w:t>
            </w:r>
          </w:p>
        </w:tc>
        <w:tc>
          <w:tcPr>
            <w:tcW w:w="660" w:type="dxa"/>
            <w:gridSpan w:val="2"/>
            <w:tcBorders>
              <w:bottom w:val="single" w:sz="4" w:space="0" w:color="auto"/>
            </w:tcBorders>
          </w:tcPr>
          <w:p w14:paraId="69981DE5" w14:textId="77777777" w:rsidR="003D07CA" w:rsidRPr="00637580" w:rsidRDefault="003D07CA" w:rsidP="003E1F68">
            <w:pPr>
              <w:spacing w:before="40" w:after="40"/>
              <w:jc w:val="center"/>
              <w:rPr>
                <w:rFonts w:ascii="Arial" w:hAnsi="Arial" w:cs="Arial"/>
                <w:sz w:val="18"/>
                <w:szCs w:val="18"/>
              </w:rPr>
            </w:pPr>
          </w:p>
        </w:tc>
        <w:tc>
          <w:tcPr>
            <w:tcW w:w="660" w:type="dxa"/>
            <w:gridSpan w:val="2"/>
            <w:tcBorders>
              <w:bottom w:val="single" w:sz="4" w:space="0" w:color="auto"/>
            </w:tcBorders>
          </w:tcPr>
          <w:p w14:paraId="69981DE6"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DE7" w14:textId="77777777" w:rsidR="003D07CA" w:rsidRPr="00637580" w:rsidRDefault="003D07CA" w:rsidP="003E1F68">
            <w:pPr>
              <w:spacing w:before="40" w:after="40"/>
              <w:jc w:val="center"/>
              <w:rPr>
                <w:rFonts w:ascii="Arial" w:hAnsi="Arial" w:cs="Arial"/>
                <w:sz w:val="18"/>
                <w:szCs w:val="18"/>
              </w:rPr>
            </w:pPr>
          </w:p>
        </w:tc>
      </w:tr>
      <w:tr w:rsidR="003D07CA" w:rsidRPr="00637580" w14:paraId="69981DED" w14:textId="77777777" w:rsidTr="003E1F68">
        <w:tc>
          <w:tcPr>
            <w:tcW w:w="7020" w:type="dxa"/>
          </w:tcPr>
          <w:p w14:paraId="69981DE9" w14:textId="77777777" w:rsidR="003D07CA" w:rsidRPr="00637580" w:rsidRDefault="003D07CA" w:rsidP="00525B7F">
            <w:pPr>
              <w:pStyle w:val="ListParagraph"/>
              <w:numPr>
                <w:ilvl w:val="0"/>
                <w:numId w:val="101"/>
              </w:numPr>
              <w:spacing w:before="40" w:after="40"/>
              <w:ind w:left="522" w:hanging="540"/>
              <w:rPr>
                <w:rFonts w:ascii="Arial" w:hAnsi="Arial" w:cs="Arial"/>
                <w:sz w:val="18"/>
                <w:szCs w:val="18"/>
              </w:rPr>
            </w:pPr>
            <w:r w:rsidRPr="00637580">
              <w:rPr>
                <w:rFonts w:ascii="Arial" w:hAnsi="Arial" w:cs="Arial"/>
                <w:sz w:val="18"/>
                <w:szCs w:val="18"/>
              </w:rPr>
              <w:t>Are written disclosures</w:t>
            </w:r>
          </w:p>
        </w:tc>
        <w:tc>
          <w:tcPr>
            <w:tcW w:w="660" w:type="dxa"/>
            <w:gridSpan w:val="2"/>
            <w:shd w:val="clear" w:color="auto" w:fill="D9D9D9" w:themeFill="background1" w:themeFillShade="D9"/>
          </w:tcPr>
          <w:p w14:paraId="69981DEA" w14:textId="77777777" w:rsidR="003D07CA" w:rsidRPr="00637580" w:rsidRDefault="003D07CA" w:rsidP="003E1F68">
            <w:pPr>
              <w:spacing w:before="40" w:after="40"/>
              <w:jc w:val="center"/>
              <w:rPr>
                <w:rFonts w:ascii="Arial" w:hAnsi="Arial" w:cs="Arial"/>
                <w:sz w:val="18"/>
                <w:szCs w:val="18"/>
              </w:rPr>
            </w:pPr>
          </w:p>
        </w:tc>
        <w:tc>
          <w:tcPr>
            <w:tcW w:w="660" w:type="dxa"/>
            <w:gridSpan w:val="2"/>
            <w:shd w:val="clear" w:color="auto" w:fill="D9D9D9" w:themeFill="background1" w:themeFillShade="D9"/>
          </w:tcPr>
          <w:p w14:paraId="69981DEB"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DEC" w14:textId="77777777" w:rsidR="003D07CA" w:rsidRPr="00637580" w:rsidRDefault="003D07CA" w:rsidP="003E1F68">
            <w:pPr>
              <w:spacing w:before="40" w:after="40"/>
              <w:jc w:val="center"/>
              <w:rPr>
                <w:rFonts w:ascii="Arial" w:hAnsi="Arial" w:cs="Arial"/>
                <w:sz w:val="18"/>
                <w:szCs w:val="18"/>
              </w:rPr>
            </w:pPr>
          </w:p>
        </w:tc>
      </w:tr>
      <w:tr w:rsidR="003D07CA" w:rsidRPr="00637580" w14:paraId="69981DF2" w14:textId="77777777" w:rsidTr="003E1F68">
        <w:tc>
          <w:tcPr>
            <w:tcW w:w="7020" w:type="dxa"/>
          </w:tcPr>
          <w:p w14:paraId="69981DEE" w14:textId="77777777" w:rsidR="003D07CA" w:rsidRPr="00637580" w:rsidRDefault="003D07CA" w:rsidP="00525B7F">
            <w:pPr>
              <w:pStyle w:val="ChecklistBullet1"/>
              <w:numPr>
                <w:ilvl w:val="0"/>
                <w:numId w:val="110"/>
              </w:numPr>
              <w:tabs>
                <w:tab w:val="clear" w:pos="3600"/>
                <w:tab w:val="left" w:pos="882"/>
              </w:tabs>
              <w:spacing w:before="40" w:after="40"/>
              <w:rPr>
                <w:rFonts w:ascii="Arial" w:hAnsi="Arial" w:cs="Arial"/>
                <w:sz w:val="18"/>
                <w:szCs w:val="18"/>
              </w:rPr>
            </w:pPr>
            <w:r w:rsidRPr="00637580">
              <w:rPr>
                <w:rFonts w:ascii="Arial" w:hAnsi="Arial" w:cs="Arial"/>
                <w:sz w:val="18"/>
                <w:szCs w:val="18"/>
              </w:rPr>
              <w:t>clear and conspicuous</w:t>
            </w:r>
            <w:r w:rsidR="0047137B">
              <w:rPr>
                <w:rFonts w:ascii="Arial" w:hAnsi="Arial" w:cs="Arial"/>
                <w:sz w:val="18"/>
                <w:szCs w:val="18"/>
              </w:rPr>
              <w:t>?</w:t>
            </w:r>
            <w:r w:rsidRPr="00637580">
              <w:rPr>
                <w:rFonts w:ascii="Arial" w:hAnsi="Arial" w:cs="Arial"/>
                <w:sz w:val="18"/>
                <w:szCs w:val="18"/>
              </w:rPr>
              <w:t xml:space="preserve"> (12 CFR 1005.31(a)(1))</w:t>
            </w:r>
          </w:p>
        </w:tc>
        <w:tc>
          <w:tcPr>
            <w:tcW w:w="660" w:type="dxa"/>
            <w:gridSpan w:val="2"/>
          </w:tcPr>
          <w:p w14:paraId="69981DEF"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DF0" w14:textId="77777777" w:rsidR="003D07CA" w:rsidRPr="00637580" w:rsidRDefault="003D07CA" w:rsidP="003E1F68">
            <w:pPr>
              <w:spacing w:before="40" w:after="40"/>
              <w:jc w:val="center"/>
              <w:rPr>
                <w:rFonts w:ascii="Arial" w:hAnsi="Arial" w:cs="Arial"/>
                <w:sz w:val="18"/>
                <w:szCs w:val="18"/>
              </w:rPr>
            </w:pPr>
          </w:p>
        </w:tc>
        <w:tc>
          <w:tcPr>
            <w:tcW w:w="660" w:type="dxa"/>
          </w:tcPr>
          <w:p w14:paraId="69981DF1" w14:textId="77777777" w:rsidR="003D07CA" w:rsidRPr="00637580" w:rsidRDefault="003D07CA" w:rsidP="003E1F68">
            <w:pPr>
              <w:spacing w:before="40" w:after="40"/>
              <w:jc w:val="center"/>
              <w:rPr>
                <w:rFonts w:ascii="Arial" w:hAnsi="Arial" w:cs="Arial"/>
                <w:sz w:val="18"/>
                <w:szCs w:val="18"/>
              </w:rPr>
            </w:pPr>
          </w:p>
        </w:tc>
      </w:tr>
      <w:tr w:rsidR="003D07CA" w:rsidRPr="00637580" w14:paraId="69981DF7" w14:textId="77777777" w:rsidTr="003E1F68">
        <w:tc>
          <w:tcPr>
            <w:tcW w:w="7020" w:type="dxa"/>
          </w:tcPr>
          <w:p w14:paraId="69981DF3" w14:textId="77777777" w:rsidR="003D07CA" w:rsidRPr="00637580" w:rsidRDefault="003D07CA" w:rsidP="00525B7F">
            <w:pPr>
              <w:pStyle w:val="ChecklistBullet1"/>
              <w:numPr>
                <w:ilvl w:val="0"/>
                <w:numId w:val="110"/>
              </w:numPr>
              <w:tabs>
                <w:tab w:val="clear" w:pos="3600"/>
              </w:tabs>
              <w:rPr>
                <w:rFonts w:ascii="Arial" w:hAnsi="Arial" w:cs="Arial"/>
                <w:sz w:val="18"/>
                <w:szCs w:val="18"/>
              </w:rPr>
            </w:pPr>
            <w:r w:rsidRPr="00637580">
              <w:rPr>
                <w:rFonts w:ascii="Arial" w:hAnsi="Arial" w:cs="Arial"/>
                <w:sz w:val="18"/>
                <w:szCs w:val="18"/>
              </w:rPr>
              <w:t>in retainable form</w:t>
            </w:r>
            <w:r w:rsidR="0047137B">
              <w:rPr>
                <w:rFonts w:ascii="Arial" w:hAnsi="Arial" w:cs="Arial"/>
                <w:sz w:val="18"/>
                <w:szCs w:val="18"/>
              </w:rPr>
              <w:t>?</w:t>
            </w:r>
            <w:r w:rsidRPr="00637580">
              <w:rPr>
                <w:rFonts w:ascii="Arial" w:hAnsi="Arial" w:cs="Arial"/>
                <w:sz w:val="18"/>
                <w:szCs w:val="18"/>
              </w:rPr>
              <w:t xml:space="preserve"> (12 CFR 1005.31(a)(2))</w:t>
            </w:r>
          </w:p>
        </w:tc>
        <w:tc>
          <w:tcPr>
            <w:tcW w:w="660" w:type="dxa"/>
            <w:gridSpan w:val="2"/>
          </w:tcPr>
          <w:p w14:paraId="69981DF4"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DF5" w14:textId="77777777" w:rsidR="003D07CA" w:rsidRPr="00637580" w:rsidRDefault="003D07CA" w:rsidP="003E1F68">
            <w:pPr>
              <w:spacing w:before="40" w:after="40"/>
              <w:jc w:val="center"/>
              <w:rPr>
                <w:rFonts w:ascii="Arial" w:hAnsi="Arial" w:cs="Arial"/>
                <w:sz w:val="18"/>
                <w:szCs w:val="18"/>
              </w:rPr>
            </w:pPr>
          </w:p>
        </w:tc>
        <w:tc>
          <w:tcPr>
            <w:tcW w:w="660" w:type="dxa"/>
          </w:tcPr>
          <w:p w14:paraId="69981DF6" w14:textId="77777777" w:rsidR="003D07CA" w:rsidRPr="00637580" w:rsidRDefault="003D07CA" w:rsidP="003E1F68">
            <w:pPr>
              <w:spacing w:before="40" w:after="40"/>
              <w:jc w:val="center"/>
              <w:rPr>
                <w:rFonts w:ascii="Arial" w:hAnsi="Arial" w:cs="Arial"/>
                <w:sz w:val="18"/>
                <w:szCs w:val="18"/>
              </w:rPr>
            </w:pPr>
          </w:p>
        </w:tc>
      </w:tr>
      <w:tr w:rsidR="003D07CA" w:rsidRPr="00637580" w14:paraId="69981DFC" w14:textId="77777777" w:rsidTr="003E1F68">
        <w:tc>
          <w:tcPr>
            <w:tcW w:w="7020" w:type="dxa"/>
          </w:tcPr>
          <w:p w14:paraId="69981DF8" w14:textId="77777777" w:rsidR="003D07CA" w:rsidRPr="00637580" w:rsidRDefault="003D07CA" w:rsidP="00525B7F">
            <w:pPr>
              <w:pStyle w:val="ListParagraph"/>
              <w:numPr>
                <w:ilvl w:val="0"/>
                <w:numId w:val="101"/>
              </w:numPr>
              <w:spacing w:before="40" w:after="40"/>
              <w:ind w:left="522" w:hanging="522"/>
              <w:rPr>
                <w:rFonts w:ascii="Arial" w:hAnsi="Arial" w:cs="Arial"/>
                <w:sz w:val="18"/>
                <w:szCs w:val="18"/>
              </w:rPr>
            </w:pPr>
            <w:r w:rsidRPr="00637580">
              <w:rPr>
                <w:rFonts w:ascii="Arial" w:hAnsi="Arial" w:cs="Arial"/>
                <w:sz w:val="18"/>
                <w:szCs w:val="18"/>
              </w:rPr>
              <w:t>Are written and electronic disclosures provided in compliance with the foreign language requirements of 12 CFR 1005.31(g)?</w:t>
            </w:r>
          </w:p>
        </w:tc>
        <w:tc>
          <w:tcPr>
            <w:tcW w:w="660" w:type="dxa"/>
            <w:gridSpan w:val="2"/>
          </w:tcPr>
          <w:p w14:paraId="69981DF9"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DFA" w14:textId="77777777" w:rsidR="003D07CA" w:rsidRPr="00637580" w:rsidRDefault="003D07CA" w:rsidP="003E1F68">
            <w:pPr>
              <w:spacing w:before="40" w:after="40"/>
              <w:jc w:val="center"/>
              <w:rPr>
                <w:rFonts w:ascii="Arial" w:hAnsi="Arial" w:cs="Arial"/>
                <w:sz w:val="18"/>
                <w:szCs w:val="18"/>
              </w:rPr>
            </w:pPr>
          </w:p>
        </w:tc>
        <w:tc>
          <w:tcPr>
            <w:tcW w:w="660" w:type="dxa"/>
          </w:tcPr>
          <w:p w14:paraId="69981DFB" w14:textId="77777777" w:rsidR="003D07CA" w:rsidRPr="00637580" w:rsidRDefault="003D07CA" w:rsidP="003E1F68">
            <w:pPr>
              <w:spacing w:before="40" w:after="40"/>
              <w:jc w:val="center"/>
              <w:rPr>
                <w:rFonts w:ascii="Arial" w:hAnsi="Arial" w:cs="Arial"/>
                <w:sz w:val="18"/>
                <w:szCs w:val="18"/>
              </w:rPr>
            </w:pPr>
          </w:p>
        </w:tc>
      </w:tr>
      <w:tr w:rsidR="003D07CA" w:rsidRPr="00637580" w14:paraId="69981E01" w14:textId="77777777" w:rsidTr="003E1F68">
        <w:tc>
          <w:tcPr>
            <w:tcW w:w="7020" w:type="dxa"/>
          </w:tcPr>
          <w:p w14:paraId="69981DFD" w14:textId="77777777" w:rsidR="003D07CA" w:rsidRPr="00637580" w:rsidRDefault="003D07CA" w:rsidP="00525B7F">
            <w:pPr>
              <w:pStyle w:val="ListParagraph"/>
              <w:numPr>
                <w:ilvl w:val="0"/>
                <w:numId w:val="101"/>
              </w:numPr>
              <w:spacing w:before="40" w:after="40"/>
              <w:ind w:left="522" w:hanging="522"/>
              <w:rPr>
                <w:rFonts w:ascii="Arial" w:hAnsi="Arial" w:cs="Arial"/>
                <w:sz w:val="18"/>
                <w:szCs w:val="18"/>
              </w:rPr>
            </w:pPr>
            <w:r w:rsidRPr="00637580">
              <w:rPr>
                <w:rFonts w:ascii="Arial" w:hAnsi="Arial" w:cs="Arial"/>
                <w:sz w:val="18"/>
                <w:szCs w:val="18"/>
              </w:rPr>
              <w:t>If the provider uses scripts to provide oral disclosures for remittance transfer transactions and error resolution procedures conducted over the telephone, do the contents of the scripts comply with the requirements of 12</w:t>
            </w:r>
            <w:r>
              <w:rPr>
                <w:rFonts w:ascii="Arial" w:hAnsi="Arial" w:cs="Arial"/>
                <w:sz w:val="18"/>
                <w:szCs w:val="18"/>
              </w:rPr>
              <w:t> </w:t>
            </w:r>
            <w:r w:rsidRPr="00637580">
              <w:rPr>
                <w:rFonts w:ascii="Arial" w:hAnsi="Arial" w:cs="Arial"/>
                <w:sz w:val="18"/>
                <w:szCs w:val="18"/>
              </w:rPr>
              <w:t>CFR 1005.31(a)(3)(iii)</w:t>
            </w:r>
            <w:r w:rsidR="00D675C3">
              <w:rPr>
                <w:rFonts w:ascii="Arial" w:hAnsi="Arial" w:cs="Arial"/>
                <w:sz w:val="18"/>
                <w:szCs w:val="18"/>
              </w:rPr>
              <w:t xml:space="preserve"> and (iv)</w:t>
            </w:r>
            <w:r w:rsidRPr="00637580">
              <w:rPr>
                <w:rFonts w:ascii="Arial" w:hAnsi="Arial" w:cs="Arial"/>
                <w:sz w:val="18"/>
                <w:szCs w:val="18"/>
              </w:rPr>
              <w:t xml:space="preserve"> and (a)(4)?</w:t>
            </w:r>
          </w:p>
        </w:tc>
        <w:tc>
          <w:tcPr>
            <w:tcW w:w="660" w:type="dxa"/>
            <w:gridSpan w:val="2"/>
          </w:tcPr>
          <w:p w14:paraId="69981DFE" w14:textId="77777777" w:rsidR="003D07CA" w:rsidRPr="00637580" w:rsidRDefault="003D07CA" w:rsidP="003E1F68">
            <w:pPr>
              <w:spacing w:before="40" w:after="40"/>
              <w:jc w:val="center"/>
              <w:rPr>
                <w:rFonts w:ascii="Arial" w:hAnsi="Arial" w:cs="Arial"/>
                <w:sz w:val="18"/>
                <w:szCs w:val="18"/>
              </w:rPr>
            </w:pPr>
          </w:p>
        </w:tc>
        <w:tc>
          <w:tcPr>
            <w:tcW w:w="660" w:type="dxa"/>
            <w:gridSpan w:val="2"/>
          </w:tcPr>
          <w:p w14:paraId="69981DFF" w14:textId="77777777" w:rsidR="003D07CA" w:rsidRPr="00637580" w:rsidRDefault="003D07CA" w:rsidP="003E1F68">
            <w:pPr>
              <w:spacing w:before="40" w:after="40"/>
              <w:jc w:val="center"/>
              <w:rPr>
                <w:rFonts w:ascii="Arial" w:hAnsi="Arial" w:cs="Arial"/>
                <w:sz w:val="18"/>
                <w:szCs w:val="18"/>
              </w:rPr>
            </w:pPr>
          </w:p>
        </w:tc>
        <w:tc>
          <w:tcPr>
            <w:tcW w:w="660" w:type="dxa"/>
          </w:tcPr>
          <w:p w14:paraId="69981E00" w14:textId="77777777" w:rsidR="003D07CA" w:rsidRPr="00637580" w:rsidRDefault="003D07CA" w:rsidP="003E1F68">
            <w:pPr>
              <w:spacing w:before="40" w:after="40"/>
              <w:jc w:val="center"/>
              <w:rPr>
                <w:rFonts w:ascii="Arial" w:hAnsi="Arial" w:cs="Arial"/>
                <w:sz w:val="18"/>
                <w:szCs w:val="18"/>
              </w:rPr>
            </w:pPr>
          </w:p>
        </w:tc>
      </w:tr>
    </w:tbl>
    <w:p w14:paraId="69981E02" w14:textId="77777777" w:rsidR="003D07CA" w:rsidRPr="00637580" w:rsidRDefault="003D07CA" w:rsidP="003D07CA">
      <w:pPr>
        <w:rPr>
          <w:rFonts w:ascii="Arial" w:hAnsi="Arial" w:cs="Arial"/>
          <w:sz w:val="18"/>
          <w:szCs w:val="18"/>
        </w:rPr>
      </w:pPr>
      <w:r w:rsidRPr="00637580">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E07" w14:textId="77777777" w:rsidTr="003E1F68">
        <w:tc>
          <w:tcPr>
            <w:tcW w:w="7020" w:type="dxa"/>
          </w:tcPr>
          <w:p w14:paraId="69981E03"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tcPr>
          <w:p w14:paraId="69981E04"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tcPr>
          <w:p w14:paraId="69981E05"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60" w:type="dxa"/>
          </w:tcPr>
          <w:p w14:paraId="69981E06"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E0C" w14:textId="77777777" w:rsidTr="003E1F68">
        <w:tc>
          <w:tcPr>
            <w:tcW w:w="7020" w:type="dxa"/>
          </w:tcPr>
          <w:p w14:paraId="69981E08" w14:textId="77777777" w:rsidR="003D07CA" w:rsidRPr="00637580" w:rsidRDefault="003D07CA" w:rsidP="00525B7F">
            <w:pPr>
              <w:numPr>
                <w:ilvl w:val="0"/>
                <w:numId w:val="101"/>
              </w:numPr>
              <w:spacing w:before="40" w:after="40"/>
              <w:ind w:left="522" w:hanging="540"/>
              <w:rPr>
                <w:rFonts w:ascii="Arial" w:hAnsi="Arial" w:cs="Arial"/>
                <w:sz w:val="18"/>
                <w:szCs w:val="18"/>
              </w:rPr>
            </w:pPr>
            <w:r w:rsidRPr="00637580">
              <w:rPr>
                <w:rFonts w:ascii="Arial" w:hAnsi="Arial" w:cs="Arial"/>
                <w:sz w:val="18"/>
                <w:szCs w:val="18"/>
              </w:rPr>
              <w:t>Do disclosures related to telephone, mobile application, or text message transactions comply with the disclosure requirements with respect to foreign languages and notice of cancellation rights? (12 CFR 1005.31(g)(2) and 12</w:t>
            </w:r>
            <w:r w:rsidR="0047137B">
              <w:rPr>
                <w:rFonts w:ascii="Arial" w:hAnsi="Arial" w:cs="Arial"/>
                <w:sz w:val="18"/>
                <w:szCs w:val="18"/>
              </w:rPr>
              <w:t> </w:t>
            </w:r>
            <w:r w:rsidRPr="00637580">
              <w:rPr>
                <w:rFonts w:ascii="Arial" w:hAnsi="Arial" w:cs="Arial"/>
                <w:sz w:val="18"/>
                <w:szCs w:val="18"/>
              </w:rPr>
              <w:t>CFR 1005.31(a)(5))</w:t>
            </w:r>
          </w:p>
        </w:tc>
        <w:tc>
          <w:tcPr>
            <w:tcW w:w="660" w:type="dxa"/>
          </w:tcPr>
          <w:p w14:paraId="69981E09" w14:textId="77777777" w:rsidR="003D07CA" w:rsidRPr="00637580" w:rsidRDefault="003D07CA" w:rsidP="003E1F68">
            <w:pPr>
              <w:spacing w:before="40" w:after="40"/>
              <w:jc w:val="center"/>
              <w:rPr>
                <w:rFonts w:ascii="Arial" w:hAnsi="Arial" w:cs="Arial"/>
                <w:sz w:val="18"/>
                <w:szCs w:val="18"/>
              </w:rPr>
            </w:pPr>
          </w:p>
        </w:tc>
        <w:tc>
          <w:tcPr>
            <w:tcW w:w="660" w:type="dxa"/>
          </w:tcPr>
          <w:p w14:paraId="69981E0A" w14:textId="77777777" w:rsidR="003D07CA" w:rsidRPr="00637580" w:rsidRDefault="003D07CA" w:rsidP="003E1F68">
            <w:pPr>
              <w:spacing w:before="40" w:after="40"/>
              <w:jc w:val="center"/>
              <w:rPr>
                <w:rFonts w:ascii="Arial" w:hAnsi="Arial" w:cs="Arial"/>
                <w:sz w:val="18"/>
                <w:szCs w:val="18"/>
              </w:rPr>
            </w:pPr>
          </w:p>
        </w:tc>
        <w:tc>
          <w:tcPr>
            <w:tcW w:w="660" w:type="dxa"/>
          </w:tcPr>
          <w:p w14:paraId="69981E0B" w14:textId="77777777" w:rsidR="003D07CA" w:rsidRPr="00637580" w:rsidRDefault="003D07CA" w:rsidP="003E1F68">
            <w:pPr>
              <w:spacing w:before="40" w:after="40"/>
              <w:jc w:val="center"/>
              <w:rPr>
                <w:rFonts w:ascii="Arial" w:hAnsi="Arial" w:cs="Arial"/>
                <w:sz w:val="18"/>
                <w:szCs w:val="18"/>
              </w:rPr>
            </w:pPr>
          </w:p>
        </w:tc>
      </w:tr>
      <w:tr w:rsidR="003D07CA" w:rsidRPr="00637580" w14:paraId="69981E11" w14:textId="77777777" w:rsidTr="003E1F68">
        <w:tc>
          <w:tcPr>
            <w:tcW w:w="7020" w:type="dxa"/>
          </w:tcPr>
          <w:p w14:paraId="69981E0D" w14:textId="77777777" w:rsidR="003D07CA" w:rsidRPr="00637580" w:rsidRDefault="003D07CA" w:rsidP="00525B7F">
            <w:pPr>
              <w:numPr>
                <w:ilvl w:val="0"/>
                <w:numId w:val="101"/>
              </w:numPr>
              <w:spacing w:before="40" w:after="40"/>
              <w:ind w:left="522" w:hanging="522"/>
              <w:rPr>
                <w:rFonts w:ascii="Arial" w:hAnsi="Arial" w:cs="Arial"/>
                <w:sz w:val="18"/>
                <w:szCs w:val="18"/>
              </w:rPr>
            </w:pPr>
            <w:r w:rsidRPr="00637580">
              <w:rPr>
                <w:rFonts w:ascii="Arial" w:hAnsi="Arial" w:cs="Arial"/>
                <w:sz w:val="18"/>
                <w:szCs w:val="18"/>
              </w:rPr>
              <w:t>Does information in written or electronic disclosures comply with the grouping requirements of 12 CFR 1005.31(c</w:t>
            </w:r>
            <w:proofErr w:type="gramStart"/>
            <w:r w:rsidRPr="00637580">
              <w:rPr>
                <w:rFonts w:ascii="Arial" w:hAnsi="Arial" w:cs="Arial"/>
                <w:sz w:val="18"/>
                <w:szCs w:val="18"/>
              </w:rPr>
              <w:t>)(</w:t>
            </w:r>
            <w:proofErr w:type="gramEnd"/>
            <w:r w:rsidRPr="00637580">
              <w:rPr>
                <w:rFonts w:ascii="Arial" w:hAnsi="Arial" w:cs="Arial"/>
                <w:sz w:val="18"/>
                <w:szCs w:val="18"/>
              </w:rPr>
              <w:t xml:space="preserve">1)? </w:t>
            </w:r>
          </w:p>
        </w:tc>
        <w:tc>
          <w:tcPr>
            <w:tcW w:w="660" w:type="dxa"/>
          </w:tcPr>
          <w:p w14:paraId="69981E0E" w14:textId="77777777" w:rsidR="003D07CA" w:rsidRPr="00637580" w:rsidRDefault="003D07CA" w:rsidP="003E1F68">
            <w:pPr>
              <w:spacing w:before="40" w:after="40"/>
              <w:jc w:val="center"/>
              <w:rPr>
                <w:rFonts w:ascii="Arial" w:hAnsi="Arial" w:cs="Arial"/>
                <w:sz w:val="18"/>
                <w:szCs w:val="18"/>
              </w:rPr>
            </w:pPr>
          </w:p>
        </w:tc>
        <w:tc>
          <w:tcPr>
            <w:tcW w:w="660" w:type="dxa"/>
          </w:tcPr>
          <w:p w14:paraId="69981E0F" w14:textId="77777777" w:rsidR="003D07CA" w:rsidRPr="00637580" w:rsidRDefault="003D07CA" w:rsidP="003E1F68">
            <w:pPr>
              <w:spacing w:before="40" w:after="40"/>
              <w:jc w:val="center"/>
              <w:rPr>
                <w:rFonts w:ascii="Arial" w:hAnsi="Arial" w:cs="Arial"/>
                <w:sz w:val="18"/>
                <w:szCs w:val="18"/>
              </w:rPr>
            </w:pPr>
          </w:p>
        </w:tc>
        <w:tc>
          <w:tcPr>
            <w:tcW w:w="660" w:type="dxa"/>
          </w:tcPr>
          <w:p w14:paraId="69981E10" w14:textId="77777777" w:rsidR="003D07CA" w:rsidRPr="00637580" w:rsidRDefault="003D07CA" w:rsidP="003E1F68">
            <w:pPr>
              <w:spacing w:before="40" w:after="40"/>
              <w:jc w:val="center"/>
              <w:rPr>
                <w:rFonts w:ascii="Arial" w:hAnsi="Arial" w:cs="Arial"/>
                <w:sz w:val="18"/>
                <w:szCs w:val="18"/>
              </w:rPr>
            </w:pPr>
          </w:p>
        </w:tc>
      </w:tr>
      <w:tr w:rsidR="003D07CA" w:rsidRPr="00637580" w14:paraId="69981E16" w14:textId="77777777" w:rsidTr="003E1F68">
        <w:tc>
          <w:tcPr>
            <w:tcW w:w="7020" w:type="dxa"/>
          </w:tcPr>
          <w:p w14:paraId="69981E12" w14:textId="77777777" w:rsidR="003D07CA" w:rsidRPr="00637580" w:rsidRDefault="003D07CA" w:rsidP="00525B7F">
            <w:pPr>
              <w:numPr>
                <w:ilvl w:val="0"/>
                <w:numId w:val="101"/>
              </w:numPr>
              <w:spacing w:before="40" w:after="40"/>
              <w:ind w:left="522" w:hanging="540"/>
              <w:rPr>
                <w:rFonts w:ascii="Arial" w:hAnsi="Arial" w:cs="Arial"/>
                <w:sz w:val="18"/>
                <w:szCs w:val="18"/>
              </w:rPr>
            </w:pPr>
            <w:r w:rsidRPr="00637580">
              <w:rPr>
                <w:rFonts w:ascii="Arial" w:hAnsi="Arial" w:cs="Arial"/>
                <w:sz w:val="18"/>
                <w:szCs w:val="18"/>
              </w:rPr>
              <w:t>Is the exchange rate used for the remittance transfer generally disclosed in close proximity to the other information in the prepayment disclosures? (12</w:t>
            </w:r>
            <w:r w:rsidR="0047137B">
              <w:rPr>
                <w:rFonts w:ascii="Arial" w:hAnsi="Arial" w:cs="Arial"/>
                <w:sz w:val="18"/>
                <w:szCs w:val="18"/>
              </w:rPr>
              <w:t> </w:t>
            </w:r>
            <w:r w:rsidRPr="00637580">
              <w:rPr>
                <w:rFonts w:ascii="Arial" w:hAnsi="Arial" w:cs="Arial"/>
                <w:sz w:val="18"/>
                <w:szCs w:val="18"/>
              </w:rPr>
              <w:t>CFR 1005.31(c)(2)</w:t>
            </w:r>
            <w:r w:rsidR="00ED4FBE">
              <w:rPr>
                <w:rFonts w:ascii="Arial" w:hAnsi="Arial" w:cs="Arial"/>
                <w:sz w:val="18"/>
                <w:szCs w:val="18"/>
              </w:rPr>
              <w:t>)</w:t>
            </w:r>
          </w:p>
        </w:tc>
        <w:tc>
          <w:tcPr>
            <w:tcW w:w="660" w:type="dxa"/>
          </w:tcPr>
          <w:p w14:paraId="69981E13" w14:textId="77777777" w:rsidR="003D07CA" w:rsidRPr="00637580" w:rsidRDefault="003D07CA" w:rsidP="003E1F68">
            <w:pPr>
              <w:spacing w:before="40" w:after="40"/>
              <w:jc w:val="center"/>
              <w:rPr>
                <w:rFonts w:ascii="Arial" w:hAnsi="Arial" w:cs="Arial"/>
                <w:sz w:val="18"/>
                <w:szCs w:val="18"/>
              </w:rPr>
            </w:pPr>
          </w:p>
        </w:tc>
        <w:tc>
          <w:tcPr>
            <w:tcW w:w="660" w:type="dxa"/>
          </w:tcPr>
          <w:p w14:paraId="69981E14" w14:textId="77777777" w:rsidR="003D07CA" w:rsidRPr="00637580" w:rsidRDefault="003D07CA" w:rsidP="003E1F68">
            <w:pPr>
              <w:spacing w:before="40" w:after="40"/>
              <w:jc w:val="center"/>
              <w:rPr>
                <w:rFonts w:ascii="Arial" w:hAnsi="Arial" w:cs="Arial"/>
                <w:sz w:val="18"/>
                <w:szCs w:val="18"/>
              </w:rPr>
            </w:pPr>
          </w:p>
        </w:tc>
        <w:tc>
          <w:tcPr>
            <w:tcW w:w="660" w:type="dxa"/>
          </w:tcPr>
          <w:p w14:paraId="69981E15" w14:textId="77777777" w:rsidR="003D07CA" w:rsidRPr="00637580" w:rsidRDefault="003D07CA" w:rsidP="003E1F68">
            <w:pPr>
              <w:spacing w:before="40" w:after="40"/>
              <w:jc w:val="center"/>
              <w:rPr>
                <w:rFonts w:ascii="Arial" w:hAnsi="Arial" w:cs="Arial"/>
                <w:sz w:val="18"/>
                <w:szCs w:val="18"/>
              </w:rPr>
            </w:pPr>
          </w:p>
        </w:tc>
      </w:tr>
      <w:tr w:rsidR="003D07CA" w:rsidRPr="00637580" w14:paraId="69981E1B" w14:textId="77777777" w:rsidTr="003E1F68">
        <w:tc>
          <w:tcPr>
            <w:tcW w:w="7020" w:type="dxa"/>
          </w:tcPr>
          <w:p w14:paraId="69981E17" w14:textId="77777777" w:rsidR="003D07CA" w:rsidRPr="007C7C6F" w:rsidRDefault="003D07CA" w:rsidP="00525B7F">
            <w:pPr>
              <w:numPr>
                <w:ilvl w:val="0"/>
                <w:numId w:val="101"/>
              </w:numPr>
              <w:spacing w:before="40" w:after="40"/>
              <w:ind w:left="522" w:hanging="540"/>
              <w:rPr>
                <w:rFonts w:ascii="Arial" w:hAnsi="Arial" w:cs="Arial"/>
                <w:sz w:val="18"/>
                <w:szCs w:val="18"/>
              </w:rPr>
            </w:pPr>
            <w:r w:rsidRPr="00637580">
              <w:rPr>
                <w:rFonts w:ascii="Arial" w:hAnsi="Arial" w:cs="Arial"/>
                <w:sz w:val="18"/>
                <w:szCs w:val="18"/>
              </w:rPr>
              <w:t>In case of a disclosure that includes the disclaimer statement under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1005.31(b</w:t>
            </w:r>
            <w:proofErr w:type="gramStart"/>
            <w:r w:rsidRPr="007C7C6F">
              <w:rPr>
                <w:rFonts w:ascii="Arial" w:hAnsi="Arial" w:cs="Arial"/>
                <w:sz w:val="18"/>
                <w:szCs w:val="18"/>
              </w:rPr>
              <w:t>)(</w:t>
            </w:r>
            <w:proofErr w:type="gramEnd"/>
            <w:r w:rsidRPr="007C7C6F">
              <w:rPr>
                <w:rFonts w:ascii="Arial" w:hAnsi="Arial" w:cs="Arial"/>
                <w:sz w:val="18"/>
                <w:szCs w:val="18"/>
              </w:rPr>
              <w:t>1)(viii), is the disclaimer in close proximity to the Total to Recipient? (12 CFR 1005.31(c)(2))</w:t>
            </w:r>
          </w:p>
        </w:tc>
        <w:tc>
          <w:tcPr>
            <w:tcW w:w="660" w:type="dxa"/>
          </w:tcPr>
          <w:p w14:paraId="69981E18" w14:textId="77777777" w:rsidR="003D07CA" w:rsidRPr="00637580" w:rsidRDefault="003D07CA" w:rsidP="003E1F68">
            <w:pPr>
              <w:spacing w:before="40" w:after="40"/>
              <w:jc w:val="center"/>
              <w:rPr>
                <w:rFonts w:ascii="Arial" w:hAnsi="Arial" w:cs="Arial"/>
                <w:sz w:val="18"/>
                <w:szCs w:val="18"/>
              </w:rPr>
            </w:pPr>
          </w:p>
        </w:tc>
        <w:tc>
          <w:tcPr>
            <w:tcW w:w="660" w:type="dxa"/>
          </w:tcPr>
          <w:p w14:paraId="69981E19" w14:textId="77777777" w:rsidR="003D07CA" w:rsidRPr="00637580" w:rsidRDefault="003D07CA" w:rsidP="003E1F68">
            <w:pPr>
              <w:spacing w:before="40" w:after="40"/>
              <w:jc w:val="center"/>
              <w:rPr>
                <w:rFonts w:ascii="Arial" w:hAnsi="Arial" w:cs="Arial"/>
                <w:sz w:val="18"/>
                <w:szCs w:val="18"/>
              </w:rPr>
            </w:pPr>
          </w:p>
        </w:tc>
        <w:tc>
          <w:tcPr>
            <w:tcW w:w="660" w:type="dxa"/>
          </w:tcPr>
          <w:p w14:paraId="69981E1A" w14:textId="77777777" w:rsidR="003D07CA" w:rsidRPr="00637580" w:rsidRDefault="003D07CA" w:rsidP="003E1F68">
            <w:pPr>
              <w:spacing w:before="40" w:after="40"/>
              <w:jc w:val="center"/>
              <w:rPr>
                <w:rFonts w:ascii="Arial" w:hAnsi="Arial" w:cs="Arial"/>
                <w:sz w:val="18"/>
                <w:szCs w:val="18"/>
              </w:rPr>
            </w:pPr>
          </w:p>
        </w:tc>
      </w:tr>
      <w:tr w:rsidR="003D07CA" w:rsidRPr="00637580" w14:paraId="69981E20" w14:textId="77777777" w:rsidTr="003E1F68">
        <w:tc>
          <w:tcPr>
            <w:tcW w:w="7020" w:type="dxa"/>
          </w:tcPr>
          <w:p w14:paraId="69981E1C" w14:textId="77777777" w:rsidR="003D07CA" w:rsidRPr="007C7C6F" w:rsidRDefault="003D07CA" w:rsidP="00525B7F">
            <w:pPr>
              <w:numPr>
                <w:ilvl w:val="0"/>
                <w:numId w:val="101"/>
              </w:numPr>
              <w:spacing w:before="40" w:after="40"/>
              <w:ind w:left="522" w:hanging="540"/>
              <w:rPr>
                <w:rFonts w:ascii="Arial" w:hAnsi="Arial" w:cs="Arial"/>
                <w:sz w:val="18"/>
                <w:szCs w:val="18"/>
              </w:rPr>
            </w:pPr>
            <w:r w:rsidRPr="00637580">
              <w:rPr>
                <w:rFonts w:ascii="Arial" w:hAnsi="Arial" w:cs="Arial"/>
                <w:sz w:val="18"/>
                <w:szCs w:val="18"/>
              </w:rPr>
              <w:t>Are disclosures on error resolution and cancellation rights generally disclosed in close proximity to the other disclosures on the receipt? (12</w:t>
            </w:r>
            <w:r>
              <w:rPr>
                <w:rFonts w:ascii="Arial" w:hAnsi="Arial" w:cs="Arial"/>
                <w:sz w:val="18"/>
                <w:szCs w:val="18"/>
              </w:rPr>
              <w:t> </w:t>
            </w:r>
            <w:r w:rsidRPr="007C7C6F">
              <w:rPr>
                <w:rFonts w:ascii="Arial" w:hAnsi="Arial" w:cs="Arial"/>
                <w:sz w:val="18"/>
                <w:szCs w:val="18"/>
              </w:rPr>
              <w:t>CFR</w:t>
            </w:r>
            <w:r w:rsidR="0047137B">
              <w:rPr>
                <w:rFonts w:ascii="Arial" w:hAnsi="Arial" w:cs="Arial"/>
                <w:sz w:val="18"/>
                <w:szCs w:val="18"/>
              </w:rPr>
              <w:t> </w:t>
            </w:r>
            <w:r w:rsidRPr="007C7C6F">
              <w:rPr>
                <w:rFonts w:ascii="Arial" w:hAnsi="Arial" w:cs="Arial"/>
                <w:sz w:val="18"/>
                <w:szCs w:val="18"/>
              </w:rPr>
              <w:t>1005.31(c)(2))</w:t>
            </w:r>
          </w:p>
        </w:tc>
        <w:tc>
          <w:tcPr>
            <w:tcW w:w="660" w:type="dxa"/>
          </w:tcPr>
          <w:p w14:paraId="69981E1D" w14:textId="77777777" w:rsidR="003D07CA" w:rsidRPr="007C7C6F" w:rsidRDefault="003D07CA" w:rsidP="003E1F68">
            <w:pPr>
              <w:spacing w:before="40" w:after="40"/>
              <w:jc w:val="center"/>
              <w:rPr>
                <w:rFonts w:ascii="Arial" w:hAnsi="Arial" w:cs="Arial"/>
                <w:sz w:val="18"/>
                <w:szCs w:val="18"/>
              </w:rPr>
            </w:pPr>
          </w:p>
        </w:tc>
        <w:tc>
          <w:tcPr>
            <w:tcW w:w="660" w:type="dxa"/>
          </w:tcPr>
          <w:p w14:paraId="69981E1E" w14:textId="77777777" w:rsidR="003D07CA" w:rsidRPr="00637580" w:rsidRDefault="003D07CA" w:rsidP="003E1F68">
            <w:pPr>
              <w:spacing w:before="40" w:after="40"/>
              <w:jc w:val="center"/>
              <w:rPr>
                <w:rFonts w:ascii="Arial" w:hAnsi="Arial" w:cs="Arial"/>
                <w:sz w:val="18"/>
                <w:szCs w:val="18"/>
              </w:rPr>
            </w:pPr>
          </w:p>
        </w:tc>
        <w:tc>
          <w:tcPr>
            <w:tcW w:w="660" w:type="dxa"/>
          </w:tcPr>
          <w:p w14:paraId="69981E1F" w14:textId="77777777" w:rsidR="003D07CA" w:rsidRPr="00637580" w:rsidRDefault="003D07CA" w:rsidP="003E1F68">
            <w:pPr>
              <w:spacing w:before="40" w:after="40"/>
              <w:jc w:val="center"/>
              <w:rPr>
                <w:rFonts w:ascii="Arial" w:hAnsi="Arial" w:cs="Arial"/>
                <w:sz w:val="18"/>
                <w:szCs w:val="18"/>
              </w:rPr>
            </w:pPr>
          </w:p>
        </w:tc>
      </w:tr>
      <w:tr w:rsidR="003D07CA" w:rsidRPr="00637580" w14:paraId="69981E25" w14:textId="77777777" w:rsidTr="003E1F68">
        <w:tc>
          <w:tcPr>
            <w:tcW w:w="7020" w:type="dxa"/>
          </w:tcPr>
          <w:p w14:paraId="69981E21" w14:textId="77777777" w:rsidR="003D07CA" w:rsidRPr="007C7C6F" w:rsidRDefault="003D07CA" w:rsidP="00525B7F">
            <w:pPr>
              <w:numPr>
                <w:ilvl w:val="0"/>
                <w:numId w:val="101"/>
              </w:numPr>
              <w:spacing w:before="40" w:after="40"/>
              <w:ind w:left="522" w:hanging="540"/>
              <w:rPr>
                <w:rFonts w:ascii="Arial" w:hAnsi="Arial" w:cs="Arial"/>
                <w:sz w:val="18"/>
                <w:szCs w:val="18"/>
              </w:rPr>
            </w:pPr>
            <w:r w:rsidRPr="00637580">
              <w:rPr>
                <w:rFonts w:ascii="Arial" w:hAnsi="Arial" w:cs="Arial"/>
                <w:sz w:val="18"/>
                <w:szCs w:val="18"/>
              </w:rPr>
              <w:t>Are disclosures that are provided in writing or electronically provided in a minimum of eight</w:t>
            </w:r>
            <w:r w:rsidR="00CD5C0B">
              <w:rPr>
                <w:rFonts w:ascii="Arial" w:hAnsi="Arial" w:cs="Arial"/>
                <w:sz w:val="18"/>
                <w:szCs w:val="18"/>
              </w:rPr>
              <w:t>-</w:t>
            </w:r>
            <w:r w:rsidRPr="00637580">
              <w:rPr>
                <w:rFonts w:ascii="Arial" w:hAnsi="Arial" w:cs="Arial"/>
                <w:sz w:val="18"/>
                <w:szCs w:val="18"/>
              </w:rPr>
              <w:t>point font, in equal prominence to each other, and on the front of the page on which the disclosures are printed?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1005.31(c)(3))</w:t>
            </w:r>
          </w:p>
        </w:tc>
        <w:tc>
          <w:tcPr>
            <w:tcW w:w="660" w:type="dxa"/>
            <w:tcBorders>
              <w:bottom w:val="single" w:sz="4" w:space="0" w:color="auto"/>
            </w:tcBorders>
          </w:tcPr>
          <w:p w14:paraId="69981E22" w14:textId="77777777" w:rsidR="003D07CA" w:rsidRPr="007C7C6F"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E23"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E24" w14:textId="77777777" w:rsidR="003D07CA" w:rsidRPr="00637580" w:rsidRDefault="003D07CA" w:rsidP="003E1F68">
            <w:pPr>
              <w:spacing w:before="40" w:after="40"/>
              <w:jc w:val="center"/>
              <w:rPr>
                <w:rFonts w:ascii="Arial" w:hAnsi="Arial" w:cs="Arial"/>
                <w:sz w:val="18"/>
                <w:szCs w:val="18"/>
              </w:rPr>
            </w:pPr>
          </w:p>
        </w:tc>
      </w:tr>
      <w:tr w:rsidR="003D07CA" w:rsidRPr="00637580" w14:paraId="69981E2A" w14:textId="77777777" w:rsidTr="003E1F68">
        <w:tc>
          <w:tcPr>
            <w:tcW w:w="7020" w:type="dxa"/>
          </w:tcPr>
          <w:p w14:paraId="69981E26" w14:textId="77777777" w:rsidR="003D07CA" w:rsidRPr="00637580" w:rsidRDefault="003D07CA" w:rsidP="00525B7F">
            <w:pPr>
              <w:numPr>
                <w:ilvl w:val="0"/>
                <w:numId w:val="101"/>
              </w:numPr>
              <w:spacing w:before="40" w:after="40"/>
              <w:ind w:left="522" w:hanging="540"/>
              <w:rPr>
                <w:rFonts w:ascii="Arial" w:hAnsi="Arial" w:cs="Arial"/>
                <w:sz w:val="18"/>
                <w:szCs w:val="18"/>
              </w:rPr>
            </w:pPr>
            <w:r w:rsidRPr="00637580">
              <w:rPr>
                <w:rFonts w:ascii="Arial" w:hAnsi="Arial" w:cs="Arial"/>
                <w:sz w:val="18"/>
                <w:szCs w:val="18"/>
              </w:rPr>
              <w:t>For disclosures that are provided in writing or electronically</w:t>
            </w:r>
            <w:r w:rsidR="00597CB5">
              <w:rPr>
                <w:rFonts w:ascii="Arial" w:hAnsi="Arial" w:cs="Arial"/>
                <w:sz w:val="18"/>
                <w:szCs w:val="18"/>
              </w:rPr>
              <w:t>,</w:t>
            </w:r>
          </w:p>
        </w:tc>
        <w:tc>
          <w:tcPr>
            <w:tcW w:w="660" w:type="dxa"/>
            <w:shd w:val="clear" w:color="auto" w:fill="D9D9D9" w:themeFill="background1" w:themeFillShade="D9"/>
          </w:tcPr>
          <w:p w14:paraId="69981E27"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28"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29" w14:textId="77777777" w:rsidR="003D07CA" w:rsidRPr="00637580" w:rsidRDefault="003D07CA" w:rsidP="003E1F68">
            <w:pPr>
              <w:spacing w:before="40" w:after="40"/>
              <w:jc w:val="center"/>
              <w:rPr>
                <w:rFonts w:ascii="Arial" w:hAnsi="Arial" w:cs="Arial"/>
                <w:sz w:val="18"/>
                <w:szCs w:val="18"/>
              </w:rPr>
            </w:pPr>
          </w:p>
        </w:tc>
      </w:tr>
      <w:tr w:rsidR="003D07CA" w:rsidRPr="00637580" w14:paraId="69981E2F" w14:textId="77777777" w:rsidTr="003E1F68">
        <w:tc>
          <w:tcPr>
            <w:tcW w:w="7020" w:type="dxa"/>
          </w:tcPr>
          <w:p w14:paraId="69981E2B" w14:textId="77777777" w:rsidR="003D07CA" w:rsidRPr="00637580" w:rsidRDefault="003D07CA" w:rsidP="00525B7F">
            <w:pPr>
              <w:pStyle w:val="ChecklistBullet1"/>
              <w:numPr>
                <w:ilvl w:val="0"/>
                <w:numId w:val="111"/>
              </w:numPr>
              <w:tabs>
                <w:tab w:val="clear" w:pos="3600"/>
              </w:tabs>
              <w:spacing w:before="40" w:after="40"/>
              <w:ind w:left="882"/>
              <w:rPr>
                <w:rFonts w:ascii="Arial" w:hAnsi="Arial" w:cs="Arial"/>
                <w:sz w:val="18"/>
                <w:szCs w:val="18"/>
              </w:rPr>
            </w:pPr>
            <w:r w:rsidRPr="00637580">
              <w:rPr>
                <w:rFonts w:ascii="Arial" w:hAnsi="Arial" w:cs="Arial"/>
                <w:sz w:val="18"/>
                <w:szCs w:val="18"/>
              </w:rPr>
              <w:t xml:space="preserve">do they contain only information directly related to the disclosures, and </w:t>
            </w:r>
          </w:p>
        </w:tc>
        <w:tc>
          <w:tcPr>
            <w:tcW w:w="660" w:type="dxa"/>
          </w:tcPr>
          <w:p w14:paraId="69981E2C" w14:textId="77777777" w:rsidR="003D07CA" w:rsidRPr="00637580" w:rsidRDefault="003D07CA" w:rsidP="003E1F68">
            <w:pPr>
              <w:spacing w:before="40" w:after="40"/>
              <w:jc w:val="center"/>
              <w:rPr>
                <w:rFonts w:ascii="Arial" w:hAnsi="Arial" w:cs="Arial"/>
                <w:sz w:val="18"/>
                <w:szCs w:val="18"/>
              </w:rPr>
            </w:pPr>
          </w:p>
        </w:tc>
        <w:tc>
          <w:tcPr>
            <w:tcW w:w="660" w:type="dxa"/>
          </w:tcPr>
          <w:p w14:paraId="69981E2D" w14:textId="77777777" w:rsidR="003D07CA" w:rsidRPr="00637580" w:rsidRDefault="003D07CA" w:rsidP="003E1F68">
            <w:pPr>
              <w:spacing w:before="40" w:after="40"/>
              <w:jc w:val="center"/>
              <w:rPr>
                <w:rFonts w:ascii="Arial" w:hAnsi="Arial" w:cs="Arial"/>
                <w:sz w:val="18"/>
                <w:szCs w:val="18"/>
              </w:rPr>
            </w:pPr>
          </w:p>
        </w:tc>
        <w:tc>
          <w:tcPr>
            <w:tcW w:w="660" w:type="dxa"/>
          </w:tcPr>
          <w:p w14:paraId="69981E2E" w14:textId="77777777" w:rsidR="003D07CA" w:rsidRPr="00637580" w:rsidRDefault="003D07CA" w:rsidP="003E1F68">
            <w:pPr>
              <w:spacing w:before="40" w:after="40"/>
              <w:jc w:val="center"/>
              <w:rPr>
                <w:rFonts w:ascii="Arial" w:hAnsi="Arial" w:cs="Arial"/>
                <w:sz w:val="18"/>
                <w:szCs w:val="18"/>
              </w:rPr>
            </w:pPr>
          </w:p>
        </w:tc>
      </w:tr>
      <w:tr w:rsidR="003D07CA" w:rsidRPr="00637580" w14:paraId="69981E34" w14:textId="77777777" w:rsidTr="003E1F68">
        <w:tc>
          <w:tcPr>
            <w:tcW w:w="7020" w:type="dxa"/>
          </w:tcPr>
          <w:p w14:paraId="69981E30" w14:textId="77777777" w:rsidR="003D07CA" w:rsidRPr="00637580" w:rsidRDefault="003D07CA" w:rsidP="00525B7F">
            <w:pPr>
              <w:pStyle w:val="ChecklistBullet1"/>
              <w:numPr>
                <w:ilvl w:val="0"/>
                <w:numId w:val="111"/>
              </w:numPr>
              <w:tabs>
                <w:tab w:val="clear" w:pos="3600"/>
              </w:tabs>
              <w:spacing w:before="40" w:after="40"/>
              <w:ind w:left="882"/>
              <w:rPr>
                <w:rFonts w:ascii="Arial" w:hAnsi="Arial" w:cs="Arial"/>
                <w:sz w:val="18"/>
                <w:szCs w:val="18"/>
              </w:rPr>
            </w:pPr>
            <w:r w:rsidRPr="00637580">
              <w:rPr>
                <w:rFonts w:ascii="Arial" w:hAnsi="Arial" w:cs="Arial"/>
                <w:sz w:val="18"/>
                <w:szCs w:val="18"/>
              </w:rPr>
              <w:t>are they segregated from everything else? (12 CFR 1005.31(c)(4))</w:t>
            </w:r>
          </w:p>
        </w:tc>
        <w:tc>
          <w:tcPr>
            <w:tcW w:w="660" w:type="dxa"/>
          </w:tcPr>
          <w:p w14:paraId="69981E31" w14:textId="77777777" w:rsidR="003D07CA" w:rsidRPr="00637580" w:rsidRDefault="003D07CA" w:rsidP="003E1F68">
            <w:pPr>
              <w:spacing w:before="40" w:after="40"/>
              <w:jc w:val="center"/>
              <w:rPr>
                <w:rFonts w:ascii="Arial" w:hAnsi="Arial" w:cs="Arial"/>
                <w:sz w:val="18"/>
                <w:szCs w:val="18"/>
              </w:rPr>
            </w:pPr>
          </w:p>
        </w:tc>
        <w:tc>
          <w:tcPr>
            <w:tcW w:w="660" w:type="dxa"/>
          </w:tcPr>
          <w:p w14:paraId="69981E32" w14:textId="77777777" w:rsidR="003D07CA" w:rsidRPr="00637580" w:rsidRDefault="003D07CA" w:rsidP="003E1F68">
            <w:pPr>
              <w:spacing w:before="40" w:after="40"/>
              <w:jc w:val="center"/>
              <w:rPr>
                <w:rFonts w:ascii="Arial" w:hAnsi="Arial" w:cs="Arial"/>
                <w:sz w:val="18"/>
                <w:szCs w:val="18"/>
              </w:rPr>
            </w:pPr>
          </w:p>
        </w:tc>
        <w:tc>
          <w:tcPr>
            <w:tcW w:w="660" w:type="dxa"/>
          </w:tcPr>
          <w:p w14:paraId="69981E33" w14:textId="77777777" w:rsidR="003D07CA" w:rsidRPr="00637580" w:rsidRDefault="003D07CA" w:rsidP="003E1F68">
            <w:pPr>
              <w:spacing w:before="40" w:after="40"/>
              <w:jc w:val="center"/>
              <w:rPr>
                <w:rFonts w:ascii="Arial" w:hAnsi="Arial" w:cs="Arial"/>
                <w:sz w:val="18"/>
                <w:szCs w:val="18"/>
              </w:rPr>
            </w:pPr>
          </w:p>
        </w:tc>
      </w:tr>
      <w:tr w:rsidR="003D07CA" w:rsidRPr="00637580" w14:paraId="69981E39" w14:textId="77777777" w:rsidTr="003E1F68">
        <w:tc>
          <w:tcPr>
            <w:tcW w:w="7020" w:type="dxa"/>
          </w:tcPr>
          <w:p w14:paraId="69981E35" w14:textId="77777777" w:rsidR="003D07CA" w:rsidRPr="00637580" w:rsidRDefault="003D07CA" w:rsidP="00525B7F">
            <w:pPr>
              <w:numPr>
                <w:ilvl w:val="0"/>
                <w:numId w:val="101"/>
              </w:numPr>
              <w:spacing w:before="40" w:after="40"/>
              <w:ind w:left="522" w:hanging="540"/>
              <w:rPr>
                <w:rFonts w:ascii="Arial" w:hAnsi="Arial" w:cs="Arial"/>
                <w:sz w:val="18"/>
                <w:szCs w:val="18"/>
              </w:rPr>
            </w:pPr>
            <w:r w:rsidRPr="00637580">
              <w:rPr>
                <w:rFonts w:ascii="Arial" w:hAnsi="Arial" w:cs="Arial"/>
                <w:sz w:val="18"/>
                <w:szCs w:val="18"/>
              </w:rPr>
              <w:t xml:space="preserve">Are estimated amounts in the disclosures appropriately described using the term “estimated” or a substantially similar term in close proximity to the term described? (12 CFR 1005.31(d)) </w:t>
            </w:r>
          </w:p>
        </w:tc>
        <w:tc>
          <w:tcPr>
            <w:tcW w:w="660" w:type="dxa"/>
          </w:tcPr>
          <w:p w14:paraId="69981E36" w14:textId="77777777" w:rsidR="003D07CA" w:rsidRPr="00637580" w:rsidRDefault="003D07CA" w:rsidP="003E1F68">
            <w:pPr>
              <w:spacing w:before="40" w:after="40"/>
              <w:jc w:val="center"/>
              <w:rPr>
                <w:rFonts w:ascii="Arial" w:hAnsi="Arial" w:cs="Arial"/>
                <w:sz w:val="18"/>
                <w:szCs w:val="18"/>
              </w:rPr>
            </w:pPr>
          </w:p>
        </w:tc>
        <w:tc>
          <w:tcPr>
            <w:tcW w:w="660" w:type="dxa"/>
          </w:tcPr>
          <w:p w14:paraId="69981E37" w14:textId="77777777" w:rsidR="003D07CA" w:rsidRPr="00637580" w:rsidRDefault="003D07CA" w:rsidP="003E1F68">
            <w:pPr>
              <w:spacing w:before="40" w:after="40"/>
              <w:jc w:val="center"/>
              <w:rPr>
                <w:rFonts w:ascii="Arial" w:hAnsi="Arial" w:cs="Arial"/>
                <w:sz w:val="18"/>
                <w:szCs w:val="18"/>
              </w:rPr>
            </w:pPr>
          </w:p>
        </w:tc>
        <w:tc>
          <w:tcPr>
            <w:tcW w:w="660" w:type="dxa"/>
          </w:tcPr>
          <w:p w14:paraId="69981E38" w14:textId="77777777" w:rsidR="003D07CA" w:rsidRPr="00637580" w:rsidRDefault="003D07CA" w:rsidP="003E1F68">
            <w:pPr>
              <w:spacing w:before="40" w:after="40"/>
              <w:jc w:val="center"/>
              <w:rPr>
                <w:rFonts w:ascii="Arial" w:hAnsi="Arial" w:cs="Arial"/>
                <w:sz w:val="18"/>
                <w:szCs w:val="18"/>
              </w:rPr>
            </w:pPr>
          </w:p>
        </w:tc>
      </w:tr>
      <w:tr w:rsidR="003D07CA" w:rsidRPr="00637580" w14:paraId="69981E3E" w14:textId="77777777" w:rsidTr="003E1F68">
        <w:tc>
          <w:tcPr>
            <w:tcW w:w="7020" w:type="dxa"/>
          </w:tcPr>
          <w:p w14:paraId="69981E3A" w14:textId="77777777" w:rsidR="003D07CA" w:rsidRPr="007C7C6F" w:rsidRDefault="003D07CA" w:rsidP="00525B7F">
            <w:pPr>
              <w:numPr>
                <w:ilvl w:val="0"/>
                <w:numId w:val="101"/>
              </w:numPr>
              <w:spacing w:before="40" w:after="40"/>
              <w:ind w:left="522" w:hanging="540"/>
              <w:rPr>
                <w:rFonts w:ascii="Arial" w:hAnsi="Arial" w:cs="Arial"/>
                <w:sz w:val="18"/>
                <w:szCs w:val="18"/>
              </w:rPr>
            </w:pPr>
            <w:r w:rsidRPr="00637580">
              <w:rPr>
                <w:rFonts w:ascii="Arial" w:hAnsi="Arial" w:cs="Arial"/>
                <w:sz w:val="18"/>
                <w:szCs w:val="18"/>
              </w:rPr>
              <w:t>Are disclosures provided in compliance with the timing requirements of 12</w:t>
            </w:r>
            <w:r>
              <w:rPr>
                <w:rFonts w:ascii="Arial" w:hAnsi="Arial" w:cs="Arial"/>
                <w:sz w:val="18"/>
                <w:szCs w:val="18"/>
              </w:rPr>
              <w:t> </w:t>
            </w:r>
            <w:r w:rsidRPr="007C7C6F">
              <w:rPr>
                <w:rFonts w:ascii="Arial" w:hAnsi="Arial" w:cs="Arial"/>
                <w:sz w:val="18"/>
                <w:szCs w:val="18"/>
              </w:rPr>
              <w:t>CFR 1005.31(e)?</w:t>
            </w:r>
          </w:p>
        </w:tc>
        <w:tc>
          <w:tcPr>
            <w:tcW w:w="660" w:type="dxa"/>
          </w:tcPr>
          <w:p w14:paraId="69981E3B" w14:textId="77777777" w:rsidR="003D07CA" w:rsidRPr="007C7C6F" w:rsidRDefault="003D07CA" w:rsidP="003E1F68">
            <w:pPr>
              <w:spacing w:before="40" w:after="40"/>
              <w:jc w:val="center"/>
              <w:rPr>
                <w:rFonts w:ascii="Arial" w:hAnsi="Arial" w:cs="Arial"/>
                <w:sz w:val="18"/>
                <w:szCs w:val="18"/>
              </w:rPr>
            </w:pPr>
          </w:p>
        </w:tc>
        <w:tc>
          <w:tcPr>
            <w:tcW w:w="660" w:type="dxa"/>
          </w:tcPr>
          <w:p w14:paraId="69981E3C" w14:textId="77777777" w:rsidR="003D07CA" w:rsidRPr="00637580" w:rsidRDefault="003D07CA" w:rsidP="003E1F68">
            <w:pPr>
              <w:spacing w:before="40" w:after="40"/>
              <w:jc w:val="center"/>
              <w:rPr>
                <w:rFonts w:ascii="Arial" w:hAnsi="Arial" w:cs="Arial"/>
                <w:sz w:val="18"/>
                <w:szCs w:val="18"/>
              </w:rPr>
            </w:pPr>
          </w:p>
        </w:tc>
        <w:tc>
          <w:tcPr>
            <w:tcW w:w="660" w:type="dxa"/>
          </w:tcPr>
          <w:p w14:paraId="69981E3D" w14:textId="77777777" w:rsidR="003D07CA" w:rsidRPr="00637580" w:rsidRDefault="003D07CA" w:rsidP="003E1F68">
            <w:pPr>
              <w:spacing w:before="40" w:after="40"/>
              <w:jc w:val="center"/>
              <w:rPr>
                <w:rFonts w:ascii="Arial" w:hAnsi="Arial" w:cs="Arial"/>
                <w:sz w:val="18"/>
                <w:szCs w:val="18"/>
              </w:rPr>
            </w:pPr>
          </w:p>
        </w:tc>
      </w:tr>
      <w:tr w:rsidR="003D07CA" w:rsidRPr="00637580" w14:paraId="69981E45" w14:textId="77777777" w:rsidTr="003E1F68">
        <w:tc>
          <w:tcPr>
            <w:tcW w:w="7020" w:type="dxa"/>
            <w:tcBorders>
              <w:bottom w:val="single" w:sz="4" w:space="0" w:color="auto"/>
            </w:tcBorders>
          </w:tcPr>
          <w:p w14:paraId="69981E3F" w14:textId="77777777" w:rsidR="003D07CA" w:rsidRPr="007C7C6F" w:rsidRDefault="003D07CA" w:rsidP="00525B7F">
            <w:pPr>
              <w:numPr>
                <w:ilvl w:val="0"/>
                <w:numId w:val="101"/>
              </w:numPr>
              <w:spacing w:before="40" w:after="40"/>
              <w:ind w:left="522" w:hanging="540"/>
              <w:rPr>
                <w:rFonts w:ascii="Arial" w:hAnsi="Arial" w:cs="Arial"/>
                <w:sz w:val="18"/>
                <w:szCs w:val="18"/>
              </w:rPr>
            </w:pPr>
            <w:r w:rsidRPr="00637580">
              <w:rPr>
                <w:rFonts w:ascii="Arial" w:hAnsi="Arial" w:cs="Arial"/>
                <w:sz w:val="18"/>
                <w:szCs w:val="18"/>
              </w:rPr>
              <w:t>Do disclosures comply with the accuracy requirements of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1005.31(f)?</w:t>
            </w:r>
          </w:p>
          <w:p w14:paraId="69981E40" w14:textId="77777777" w:rsidR="003D07CA" w:rsidRPr="007C7C6F" w:rsidRDefault="003D07CA" w:rsidP="003E1F68">
            <w:pPr>
              <w:spacing w:before="40" w:after="40"/>
              <w:ind w:left="522"/>
              <w:rPr>
                <w:rFonts w:ascii="Arial" w:hAnsi="Arial" w:cs="Arial"/>
                <w:sz w:val="18"/>
                <w:szCs w:val="18"/>
              </w:rPr>
            </w:pPr>
          </w:p>
          <w:p w14:paraId="69981E41" w14:textId="77777777" w:rsidR="003D07CA" w:rsidRPr="007C7C6F" w:rsidRDefault="003D07CA" w:rsidP="003E1F68">
            <w:pPr>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For a one-time transfer scheduled five or more business days in advance or for the first in a series of preauthorized remittance transfers, disclosures must be accurate when a sender makes payment except to the extent estimates are permitted. For any subsequent transfer in a series of preauthorized remittance transfers, disclosures must be accurate as of the date the preauthorized remittance transfer to which it pertains is made. (12</w:t>
            </w:r>
            <w:r>
              <w:rPr>
                <w:rFonts w:ascii="Arial" w:hAnsi="Arial" w:cs="Arial"/>
                <w:sz w:val="18"/>
                <w:szCs w:val="18"/>
              </w:rPr>
              <w:t> </w:t>
            </w:r>
            <w:r w:rsidRPr="007C7C6F">
              <w:rPr>
                <w:rFonts w:ascii="Arial" w:hAnsi="Arial" w:cs="Arial"/>
                <w:sz w:val="18"/>
                <w:szCs w:val="18"/>
              </w:rPr>
              <w:t>CFR 1005.36(b))</w:t>
            </w:r>
          </w:p>
        </w:tc>
        <w:tc>
          <w:tcPr>
            <w:tcW w:w="660" w:type="dxa"/>
            <w:tcBorders>
              <w:bottom w:val="single" w:sz="4" w:space="0" w:color="auto"/>
            </w:tcBorders>
          </w:tcPr>
          <w:p w14:paraId="69981E42" w14:textId="77777777" w:rsidR="003D07CA" w:rsidRPr="007C7C6F"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E43"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E44" w14:textId="77777777" w:rsidR="003D07CA" w:rsidRPr="00637580" w:rsidRDefault="003D07CA" w:rsidP="003E1F68">
            <w:pPr>
              <w:spacing w:before="40" w:after="40"/>
              <w:jc w:val="center"/>
              <w:rPr>
                <w:rFonts w:ascii="Arial" w:hAnsi="Arial" w:cs="Arial"/>
                <w:sz w:val="18"/>
                <w:szCs w:val="18"/>
              </w:rPr>
            </w:pPr>
          </w:p>
        </w:tc>
      </w:tr>
    </w:tbl>
    <w:p w14:paraId="69981E46" w14:textId="77777777" w:rsidR="003D07CA" w:rsidRPr="00637580" w:rsidRDefault="003D07CA" w:rsidP="003D07CA">
      <w:pPr>
        <w:rPr>
          <w:rFonts w:ascii="Arial" w:hAnsi="Arial" w:cs="Arial"/>
          <w:sz w:val="18"/>
          <w:szCs w:val="18"/>
        </w:rPr>
      </w:pPr>
      <w:r w:rsidRPr="00637580">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E4B" w14:textId="77777777" w:rsidTr="003E1F68">
        <w:trPr>
          <w:trHeight w:val="305"/>
        </w:trPr>
        <w:tc>
          <w:tcPr>
            <w:tcW w:w="7020" w:type="dxa"/>
            <w:shd w:val="clear" w:color="auto" w:fill="auto"/>
          </w:tcPr>
          <w:p w14:paraId="69981E47"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shd w:val="clear" w:color="auto" w:fill="auto"/>
          </w:tcPr>
          <w:p w14:paraId="69981E48"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60" w:type="dxa"/>
            <w:shd w:val="clear" w:color="auto" w:fill="auto"/>
          </w:tcPr>
          <w:p w14:paraId="69981E49"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60" w:type="dxa"/>
            <w:shd w:val="clear" w:color="auto" w:fill="auto"/>
          </w:tcPr>
          <w:p w14:paraId="69981E4A"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E50" w14:textId="77777777" w:rsidTr="003E1F68">
        <w:trPr>
          <w:trHeight w:val="305"/>
        </w:trPr>
        <w:tc>
          <w:tcPr>
            <w:tcW w:w="7020" w:type="dxa"/>
            <w:shd w:val="clear" w:color="auto" w:fill="D9D9D9" w:themeFill="background1" w:themeFillShade="D9"/>
            <w:vAlign w:val="center"/>
          </w:tcPr>
          <w:p w14:paraId="69981E4C" w14:textId="77777777" w:rsidR="003D07CA" w:rsidRPr="00637580" w:rsidRDefault="003D07CA" w:rsidP="00083FC9">
            <w:pPr>
              <w:spacing w:before="40" w:after="40"/>
              <w:rPr>
                <w:rFonts w:ascii="Arial" w:hAnsi="Arial" w:cs="Arial"/>
                <w:b/>
                <w:sz w:val="18"/>
                <w:szCs w:val="18"/>
              </w:rPr>
            </w:pPr>
            <w:r w:rsidRPr="00637580">
              <w:rPr>
                <w:rFonts w:ascii="Arial" w:hAnsi="Arial" w:cs="Arial"/>
                <w:b/>
                <w:sz w:val="18"/>
                <w:szCs w:val="18"/>
              </w:rPr>
              <w:t>12 CFR 1005.31(b)(1) – Pre</w:t>
            </w:r>
            <w:r>
              <w:rPr>
                <w:rFonts w:ascii="Arial" w:hAnsi="Arial" w:cs="Arial"/>
                <w:b/>
                <w:sz w:val="18"/>
                <w:szCs w:val="18"/>
              </w:rPr>
              <w:t>p</w:t>
            </w:r>
            <w:r w:rsidRPr="00637580">
              <w:rPr>
                <w:rFonts w:ascii="Arial" w:hAnsi="Arial" w:cs="Arial"/>
                <w:b/>
                <w:sz w:val="18"/>
                <w:szCs w:val="18"/>
              </w:rPr>
              <w:t>ayment Disclosure</w:t>
            </w:r>
          </w:p>
        </w:tc>
        <w:tc>
          <w:tcPr>
            <w:tcW w:w="660" w:type="dxa"/>
            <w:shd w:val="clear" w:color="auto" w:fill="D9D9D9" w:themeFill="background1" w:themeFillShade="D9"/>
          </w:tcPr>
          <w:p w14:paraId="69981E4D"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4E"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4F" w14:textId="77777777" w:rsidR="003D07CA" w:rsidRPr="00637580" w:rsidRDefault="003D07CA" w:rsidP="003E1F68">
            <w:pPr>
              <w:spacing w:before="40" w:after="40"/>
              <w:jc w:val="center"/>
              <w:rPr>
                <w:rFonts w:ascii="Arial" w:hAnsi="Arial" w:cs="Arial"/>
                <w:sz w:val="18"/>
                <w:szCs w:val="18"/>
              </w:rPr>
            </w:pPr>
          </w:p>
        </w:tc>
      </w:tr>
      <w:tr w:rsidR="003D07CA" w:rsidRPr="00637580" w14:paraId="69981E55" w14:textId="77777777" w:rsidTr="003E1F68">
        <w:tc>
          <w:tcPr>
            <w:tcW w:w="7020" w:type="dxa"/>
          </w:tcPr>
          <w:p w14:paraId="69981E51" w14:textId="77777777" w:rsidR="003D07CA" w:rsidRPr="00637580" w:rsidRDefault="003D07CA" w:rsidP="00525B7F">
            <w:pPr>
              <w:pStyle w:val="ListParagraph"/>
              <w:numPr>
                <w:ilvl w:val="0"/>
                <w:numId w:val="101"/>
              </w:numPr>
              <w:spacing w:before="40" w:after="40"/>
              <w:ind w:left="522" w:hanging="522"/>
              <w:rPr>
                <w:rFonts w:ascii="Arial" w:hAnsi="Arial" w:cs="Arial"/>
                <w:sz w:val="18"/>
                <w:szCs w:val="18"/>
              </w:rPr>
            </w:pPr>
            <w:r w:rsidRPr="00637580">
              <w:rPr>
                <w:rFonts w:ascii="Arial" w:hAnsi="Arial" w:cs="Arial"/>
                <w:sz w:val="18"/>
                <w:szCs w:val="18"/>
              </w:rPr>
              <w:t>Does the provider appropriately distinguish between covered and non-covered third</w:t>
            </w:r>
            <w:r w:rsidR="00E472A5">
              <w:rPr>
                <w:rFonts w:ascii="Arial" w:hAnsi="Arial" w:cs="Arial"/>
                <w:sz w:val="18"/>
                <w:szCs w:val="18"/>
              </w:rPr>
              <w:t>-</w:t>
            </w:r>
            <w:r w:rsidRPr="00637580">
              <w:rPr>
                <w:rFonts w:ascii="Arial" w:hAnsi="Arial" w:cs="Arial"/>
                <w:sz w:val="18"/>
                <w:szCs w:val="18"/>
              </w:rPr>
              <w:t>party fees?</w:t>
            </w:r>
          </w:p>
        </w:tc>
        <w:tc>
          <w:tcPr>
            <w:tcW w:w="660" w:type="dxa"/>
            <w:tcBorders>
              <w:bottom w:val="single" w:sz="4" w:space="0" w:color="auto"/>
            </w:tcBorders>
          </w:tcPr>
          <w:p w14:paraId="69981E52"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E53"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E54" w14:textId="77777777" w:rsidR="003D07CA" w:rsidRPr="00637580" w:rsidRDefault="003D07CA" w:rsidP="003E1F68">
            <w:pPr>
              <w:spacing w:before="40" w:after="40"/>
              <w:jc w:val="center"/>
              <w:rPr>
                <w:rFonts w:ascii="Arial" w:hAnsi="Arial" w:cs="Arial"/>
                <w:sz w:val="18"/>
                <w:szCs w:val="18"/>
              </w:rPr>
            </w:pPr>
          </w:p>
        </w:tc>
      </w:tr>
      <w:tr w:rsidR="003D07CA" w:rsidRPr="00637580" w14:paraId="69981E5A" w14:textId="77777777" w:rsidTr="003E1F68">
        <w:tc>
          <w:tcPr>
            <w:tcW w:w="7020" w:type="dxa"/>
          </w:tcPr>
          <w:p w14:paraId="69981E56" w14:textId="77777777" w:rsidR="003D07CA" w:rsidRPr="00637580" w:rsidRDefault="003D07CA" w:rsidP="00525B7F">
            <w:pPr>
              <w:numPr>
                <w:ilvl w:val="0"/>
                <w:numId w:val="101"/>
              </w:numPr>
              <w:spacing w:before="40" w:after="40"/>
              <w:ind w:left="522" w:hanging="540"/>
              <w:rPr>
                <w:rFonts w:ascii="Arial" w:hAnsi="Arial" w:cs="Arial"/>
                <w:sz w:val="18"/>
                <w:szCs w:val="18"/>
              </w:rPr>
            </w:pPr>
            <w:r w:rsidRPr="00637580">
              <w:rPr>
                <w:rFonts w:ascii="Arial" w:hAnsi="Arial" w:cs="Arial"/>
                <w:sz w:val="18"/>
                <w:szCs w:val="18"/>
              </w:rPr>
              <w:t>Do the provider’s prepayment disclosures appropriately disclose to the recipient the following information as applicable, using the terms in quotes (or substantially similar terms) listed below:</w:t>
            </w:r>
          </w:p>
        </w:tc>
        <w:tc>
          <w:tcPr>
            <w:tcW w:w="660" w:type="dxa"/>
            <w:shd w:val="clear" w:color="auto" w:fill="D9D9D9" w:themeFill="background1" w:themeFillShade="D9"/>
          </w:tcPr>
          <w:p w14:paraId="69981E57"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58"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59" w14:textId="77777777" w:rsidR="003D07CA" w:rsidRPr="00637580" w:rsidRDefault="003D07CA" w:rsidP="003E1F68">
            <w:pPr>
              <w:spacing w:before="40" w:after="40"/>
              <w:jc w:val="center"/>
              <w:rPr>
                <w:rFonts w:ascii="Arial" w:hAnsi="Arial" w:cs="Arial"/>
                <w:sz w:val="18"/>
                <w:szCs w:val="18"/>
              </w:rPr>
            </w:pPr>
          </w:p>
        </w:tc>
      </w:tr>
      <w:tr w:rsidR="003D07CA" w:rsidRPr="00637580" w14:paraId="69981E5F" w14:textId="77777777" w:rsidTr="003E1F68">
        <w:tc>
          <w:tcPr>
            <w:tcW w:w="7020" w:type="dxa"/>
          </w:tcPr>
          <w:p w14:paraId="69981E5B" w14:textId="77777777" w:rsidR="003D07CA" w:rsidRPr="00637580" w:rsidRDefault="003D07CA" w:rsidP="00525B7F">
            <w:pPr>
              <w:pStyle w:val="ChecklistBullet1"/>
              <w:numPr>
                <w:ilvl w:val="0"/>
                <w:numId w:val="112"/>
              </w:numPr>
              <w:tabs>
                <w:tab w:val="clear" w:pos="3600"/>
                <w:tab w:val="left" w:pos="882"/>
              </w:tabs>
              <w:spacing w:before="40" w:after="40"/>
              <w:ind w:right="72"/>
              <w:rPr>
                <w:rFonts w:ascii="Arial" w:hAnsi="Arial" w:cs="Arial"/>
                <w:sz w:val="18"/>
                <w:szCs w:val="18"/>
              </w:rPr>
            </w:pPr>
            <w:r w:rsidRPr="00637580">
              <w:rPr>
                <w:rFonts w:ascii="Arial" w:hAnsi="Arial" w:cs="Arial"/>
                <w:sz w:val="18"/>
                <w:szCs w:val="18"/>
              </w:rPr>
              <w:t>“Transfer Amount” both in the currency in which transaction is funded and in the currency in which the funds will be made available to the recipient</w:t>
            </w:r>
            <w:r w:rsidR="008972A2">
              <w:rPr>
                <w:rFonts w:ascii="Arial" w:hAnsi="Arial" w:cs="Arial"/>
                <w:sz w:val="18"/>
                <w:szCs w:val="18"/>
              </w:rPr>
              <w:t>;</w:t>
            </w:r>
            <w:r w:rsidRPr="00637580">
              <w:rPr>
                <w:rFonts w:ascii="Arial" w:hAnsi="Arial" w:cs="Arial"/>
                <w:sz w:val="18"/>
                <w:szCs w:val="18"/>
              </w:rPr>
              <w:t xml:space="preserve"> (12 CFR</w:t>
            </w:r>
            <w:r w:rsidR="00CD5C0B">
              <w:rPr>
                <w:rFonts w:ascii="Arial" w:hAnsi="Arial" w:cs="Arial"/>
                <w:sz w:val="18"/>
                <w:szCs w:val="18"/>
              </w:rPr>
              <w:t xml:space="preserve"> </w:t>
            </w:r>
            <w:r w:rsidRPr="00637580">
              <w:rPr>
                <w:rFonts w:ascii="Arial" w:hAnsi="Arial" w:cs="Arial"/>
                <w:sz w:val="18"/>
                <w:szCs w:val="18"/>
              </w:rPr>
              <w:t>1005.31(b)(1)(i))</w:t>
            </w:r>
            <w:r w:rsidR="009C668C">
              <w:rPr>
                <w:rFonts w:ascii="Arial" w:hAnsi="Arial" w:cs="Arial"/>
                <w:sz w:val="18"/>
                <w:szCs w:val="18"/>
              </w:rPr>
              <w:t xml:space="preserve"> </w:t>
            </w:r>
            <w:r w:rsidR="008972A2">
              <w:rPr>
                <w:rFonts w:ascii="Arial" w:hAnsi="Arial" w:cs="Arial"/>
                <w:sz w:val="18"/>
                <w:szCs w:val="18"/>
              </w:rPr>
              <w:t>and (v)</w:t>
            </w:r>
            <w:r w:rsidR="00A40813">
              <w:rPr>
                <w:rFonts w:ascii="Arial" w:hAnsi="Arial" w:cs="Arial"/>
                <w:sz w:val="18"/>
                <w:szCs w:val="18"/>
              </w:rPr>
              <w:t>)</w:t>
            </w:r>
          </w:p>
        </w:tc>
        <w:tc>
          <w:tcPr>
            <w:tcW w:w="660" w:type="dxa"/>
          </w:tcPr>
          <w:p w14:paraId="69981E5C" w14:textId="77777777" w:rsidR="003D07CA" w:rsidRPr="00637580" w:rsidRDefault="003D07CA" w:rsidP="003E1F68">
            <w:pPr>
              <w:spacing w:before="40" w:after="40"/>
              <w:jc w:val="center"/>
              <w:rPr>
                <w:rFonts w:ascii="Arial" w:hAnsi="Arial" w:cs="Arial"/>
                <w:sz w:val="18"/>
                <w:szCs w:val="18"/>
              </w:rPr>
            </w:pPr>
          </w:p>
        </w:tc>
        <w:tc>
          <w:tcPr>
            <w:tcW w:w="660" w:type="dxa"/>
          </w:tcPr>
          <w:p w14:paraId="69981E5D" w14:textId="77777777" w:rsidR="003D07CA" w:rsidRPr="00637580" w:rsidRDefault="003D07CA" w:rsidP="003E1F68">
            <w:pPr>
              <w:spacing w:before="40" w:after="40"/>
              <w:jc w:val="center"/>
              <w:rPr>
                <w:rFonts w:ascii="Arial" w:hAnsi="Arial" w:cs="Arial"/>
                <w:sz w:val="18"/>
                <w:szCs w:val="18"/>
              </w:rPr>
            </w:pPr>
          </w:p>
        </w:tc>
        <w:tc>
          <w:tcPr>
            <w:tcW w:w="660" w:type="dxa"/>
          </w:tcPr>
          <w:p w14:paraId="69981E5E" w14:textId="77777777" w:rsidR="003D07CA" w:rsidRPr="00637580" w:rsidRDefault="003D07CA" w:rsidP="003E1F68">
            <w:pPr>
              <w:spacing w:before="40" w:after="40"/>
              <w:jc w:val="center"/>
              <w:rPr>
                <w:rFonts w:ascii="Arial" w:hAnsi="Arial" w:cs="Arial"/>
                <w:sz w:val="18"/>
                <w:szCs w:val="18"/>
              </w:rPr>
            </w:pPr>
          </w:p>
        </w:tc>
      </w:tr>
      <w:tr w:rsidR="003D07CA" w:rsidRPr="00637580" w14:paraId="69981E64" w14:textId="77777777" w:rsidTr="003E1F68">
        <w:tc>
          <w:tcPr>
            <w:tcW w:w="7020" w:type="dxa"/>
          </w:tcPr>
          <w:p w14:paraId="69981E60" w14:textId="77777777" w:rsidR="003D07CA" w:rsidRPr="00637580" w:rsidRDefault="003D07CA" w:rsidP="00525B7F">
            <w:pPr>
              <w:pStyle w:val="ChecklistBullet1"/>
              <w:numPr>
                <w:ilvl w:val="0"/>
                <w:numId w:val="112"/>
              </w:numPr>
              <w:tabs>
                <w:tab w:val="clear" w:pos="3600"/>
                <w:tab w:val="left" w:pos="882"/>
              </w:tabs>
              <w:spacing w:before="40" w:after="40"/>
              <w:rPr>
                <w:rFonts w:ascii="Arial" w:hAnsi="Arial" w:cs="Arial"/>
                <w:sz w:val="18"/>
                <w:szCs w:val="18"/>
              </w:rPr>
            </w:pPr>
            <w:r w:rsidRPr="00637580">
              <w:rPr>
                <w:rFonts w:ascii="Arial" w:hAnsi="Arial" w:cs="Arial"/>
                <w:sz w:val="18"/>
                <w:szCs w:val="18"/>
              </w:rPr>
              <w:t>“Tran</w:t>
            </w:r>
            <w:r w:rsidR="00F156C6">
              <w:rPr>
                <w:rFonts w:ascii="Arial" w:hAnsi="Arial" w:cs="Arial"/>
                <w:sz w:val="18"/>
                <w:szCs w:val="18"/>
              </w:rPr>
              <w:t>sfer Fees” and “Transfer Taxes”</w:t>
            </w:r>
            <w:r w:rsidR="008972A2">
              <w:rPr>
                <w:rFonts w:ascii="Arial" w:hAnsi="Arial" w:cs="Arial"/>
                <w:sz w:val="18"/>
                <w:szCs w:val="18"/>
              </w:rPr>
              <w:t>;</w:t>
            </w:r>
            <w:r w:rsidRPr="00637580">
              <w:rPr>
                <w:rFonts w:ascii="Arial" w:hAnsi="Arial" w:cs="Arial"/>
                <w:sz w:val="18"/>
                <w:szCs w:val="18"/>
              </w:rPr>
              <w:t xml:space="preserve"> (12 CFR</w:t>
            </w:r>
            <w:r w:rsidR="00CD5C0B">
              <w:rPr>
                <w:rFonts w:ascii="Arial" w:hAnsi="Arial" w:cs="Arial"/>
                <w:sz w:val="18"/>
                <w:szCs w:val="18"/>
              </w:rPr>
              <w:t xml:space="preserve"> </w:t>
            </w:r>
            <w:r w:rsidRPr="00637580">
              <w:rPr>
                <w:rFonts w:ascii="Arial" w:hAnsi="Arial" w:cs="Arial"/>
                <w:sz w:val="18"/>
                <w:szCs w:val="18"/>
              </w:rPr>
              <w:t>1005.31(b)(1)(ii))</w:t>
            </w:r>
          </w:p>
        </w:tc>
        <w:tc>
          <w:tcPr>
            <w:tcW w:w="660" w:type="dxa"/>
          </w:tcPr>
          <w:p w14:paraId="69981E61" w14:textId="77777777" w:rsidR="003D07CA" w:rsidRPr="00637580" w:rsidRDefault="003D07CA" w:rsidP="003E1F68">
            <w:pPr>
              <w:spacing w:before="40" w:after="40"/>
              <w:jc w:val="center"/>
              <w:rPr>
                <w:rFonts w:ascii="Arial" w:hAnsi="Arial" w:cs="Arial"/>
                <w:sz w:val="18"/>
                <w:szCs w:val="18"/>
              </w:rPr>
            </w:pPr>
          </w:p>
        </w:tc>
        <w:tc>
          <w:tcPr>
            <w:tcW w:w="660" w:type="dxa"/>
          </w:tcPr>
          <w:p w14:paraId="69981E62" w14:textId="77777777" w:rsidR="003D07CA" w:rsidRPr="00637580" w:rsidRDefault="003D07CA" w:rsidP="003E1F68">
            <w:pPr>
              <w:spacing w:before="40" w:after="40"/>
              <w:jc w:val="center"/>
              <w:rPr>
                <w:rFonts w:ascii="Arial" w:hAnsi="Arial" w:cs="Arial"/>
                <w:sz w:val="18"/>
                <w:szCs w:val="18"/>
              </w:rPr>
            </w:pPr>
          </w:p>
        </w:tc>
        <w:tc>
          <w:tcPr>
            <w:tcW w:w="660" w:type="dxa"/>
          </w:tcPr>
          <w:p w14:paraId="69981E63" w14:textId="77777777" w:rsidR="003D07CA" w:rsidRPr="00637580" w:rsidRDefault="003D07CA" w:rsidP="003E1F68">
            <w:pPr>
              <w:spacing w:before="40" w:after="40"/>
              <w:jc w:val="center"/>
              <w:rPr>
                <w:rFonts w:ascii="Arial" w:hAnsi="Arial" w:cs="Arial"/>
                <w:sz w:val="18"/>
                <w:szCs w:val="18"/>
              </w:rPr>
            </w:pPr>
          </w:p>
        </w:tc>
      </w:tr>
      <w:tr w:rsidR="001259EE" w:rsidRPr="00637580" w14:paraId="69981E69" w14:textId="77777777" w:rsidTr="003E1F68">
        <w:tc>
          <w:tcPr>
            <w:tcW w:w="7020" w:type="dxa"/>
          </w:tcPr>
          <w:p w14:paraId="69981E65" w14:textId="77777777" w:rsidR="001259EE" w:rsidRDefault="001259EE" w:rsidP="00525B7F">
            <w:pPr>
              <w:pStyle w:val="ChecklistBullet1"/>
              <w:numPr>
                <w:ilvl w:val="0"/>
                <w:numId w:val="112"/>
              </w:numPr>
              <w:tabs>
                <w:tab w:val="clear" w:pos="3600"/>
                <w:tab w:val="left" w:pos="882"/>
              </w:tabs>
              <w:spacing w:before="40" w:after="40"/>
              <w:rPr>
                <w:rFonts w:ascii="Arial" w:hAnsi="Arial" w:cs="Arial"/>
                <w:sz w:val="18"/>
                <w:szCs w:val="18"/>
              </w:rPr>
            </w:pPr>
            <w:r>
              <w:rPr>
                <w:rFonts w:ascii="Arial" w:hAnsi="Arial" w:cs="Arial"/>
                <w:sz w:val="18"/>
                <w:szCs w:val="18"/>
              </w:rPr>
              <w:t>“</w:t>
            </w:r>
            <w:r w:rsidRPr="001259EE">
              <w:rPr>
                <w:rFonts w:ascii="Arial" w:hAnsi="Arial" w:cs="Arial"/>
                <w:sz w:val="18"/>
                <w:szCs w:val="18"/>
              </w:rPr>
              <w:t>Total Amount</w:t>
            </w:r>
            <w:r>
              <w:rPr>
                <w:rFonts w:ascii="Arial" w:hAnsi="Arial" w:cs="Arial"/>
                <w:sz w:val="18"/>
                <w:szCs w:val="18"/>
              </w:rPr>
              <w:t>”</w:t>
            </w:r>
            <w:r w:rsidRPr="001259EE">
              <w:rPr>
                <w:rFonts w:ascii="Arial" w:hAnsi="Arial" w:cs="Arial"/>
                <w:sz w:val="18"/>
                <w:szCs w:val="18"/>
              </w:rPr>
              <w:t xml:space="preserve"> (</w:t>
            </w:r>
            <w:r>
              <w:rPr>
                <w:rFonts w:ascii="Arial" w:hAnsi="Arial" w:cs="Arial"/>
                <w:sz w:val="18"/>
                <w:szCs w:val="18"/>
              </w:rPr>
              <w:t xml:space="preserve">12 CFR </w:t>
            </w:r>
            <w:r w:rsidRPr="001259EE">
              <w:rPr>
                <w:rFonts w:ascii="Arial" w:hAnsi="Arial" w:cs="Arial"/>
                <w:sz w:val="18"/>
                <w:szCs w:val="18"/>
              </w:rPr>
              <w:t>1005.31(b)(1)(iii))</w:t>
            </w:r>
          </w:p>
        </w:tc>
        <w:tc>
          <w:tcPr>
            <w:tcW w:w="660" w:type="dxa"/>
          </w:tcPr>
          <w:p w14:paraId="69981E66" w14:textId="77777777" w:rsidR="001259EE" w:rsidRPr="00637580" w:rsidRDefault="001259EE" w:rsidP="003E1F68">
            <w:pPr>
              <w:spacing w:before="40" w:after="40"/>
              <w:jc w:val="center"/>
              <w:rPr>
                <w:rFonts w:ascii="Arial" w:hAnsi="Arial" w:cs="Arial"/>
                <w:sz w:val="18"/>
                <w:szCs w:val="18"/>
              </w:rPr>
            </w:pPr>
          </w:p>
        </w:tc>
        <w:tc>
          <w:tcPr>
            <w:tcW w:w="660" w:type="dxa"/>
          </w:tcPr>
          <w:p w14:paraId="69981E67" w14:textId="77777777" w:rsidR="001259EE" w:rsidRPr="00637580" w:rsidRDefault="001259EE" w:rsidP="003E1F68">
            <w:pPr>
              <w:spacing w:before="40" w:after="40"/>
              <w:jc w:val="center"/>
              <w:rPr>
                <w:rFonts w:ascii="Arial" w:hAnsi="Arial" w:cs="Arial"/>
                <w:sz w:val="18"/>
                <w:szCs w:val="18"/>
              </w:rPr>
            </w:pPr>
          </w:p>
        </w:tc>
        <w:tc>
          <w:tcPr>
            <w:tcW w:w="660" w:type="dxa"/>
          </w:tcPr>
          <w:p w14:paraId="69981E68" w14:textId="77777777" w:rsidR="001259EE" w:rsidRPr="00637580" w:rsidRDefault="001259EE" w:rsidP="003E1F68">
            <w:pPr>
              <w:spacing w:before="40" w:after="40"/>
              <w:jc w:val="center"/>
              <w:rPr>
                <w:rFonts w:ascii="Arial" w:hAnsi="Arial" w:cs="Arial"/>
                <w:sz w:val="18"/>
                <w:szCs w:val="18"/>
              </w:rPr>
            </w:pPr>
          </w:p>
        </w:tc>
      </w:tr>
      <w:tr w:rsidR="003D07CA" w:rsidRPr="00637580" w14:paraId="69981E6E" w14:textId="77777777" w:rsidTr="003E1F68">
        <w:tc>
          <w:tcPr>
            <w:tcW w:w="7020" w:type="dxa"/>
          </w:tcPr>
          <w:p w14:paraId="69981E6A" w14:textId="77777777" w:rsidR="003D07CA" w:rsidRPr="00637580" w:rsidRDefault="00F156C6" w:rsidP="00525B7F">
            <w:pPr>
              <w:pStyle w:val="ChecklistBullet1"/>
              <w:numPr>
                <w:ilvl w:val="0"/>
                <w:numId w:val="112"/>
              </w:numPr>
              <w:tabs>
                <w:tab w:val="clear" w:pos="3600"/>
                <w:tab w:val="left" w:pos="882"/>
              </w:tabs>
              <w:spacing w:before="40" w:after="40"/>
              <w:rPr>
                <w:rFonts w:ascii="Arial" w:hAnsi="Arial" w:cs="Arial"/>
                <w:sz w:val="18"/>
                <w:szCs w:val="18"/>
              </w:rPr>
            </w:pPr>
            <w:r>
              <w:rPr>
                <w:rFonts w:ascii="Arial" w:hAnsi="Arial" w:cs="Arial"/>
                <w:sz w:val="18"/>
                <w:szCs w:val="18"/>
              </w:rPr>
              <w:t>“Other Fees”</w:t>
            </w:r>
            <w:r w:rsidR="008972A2">
              <w:rPr>
                <w:rFonts w:ascii="Arial" w:hAnsi="Arial" w:cs="Arial"/>
                <w:sz w:val="18"/>
                <w:szCs w:val="18"/>
              </w:rPr>
              <w:t>;</w:t>
            </w:r>
            <w:r w:rsidR="003D07CA" w:rsidRPr="00637580">
              <w:rPr>
                <w:rFonts w:ascii="Arial" w:hAnsi="Arial" w:cs="Arial"/>
                <w:sz w:val="18"/>
                <w:szCs w:val="18"/>
              </w:rPr>
              <w:t xml:space="preserve"> (12 CFR</w:t>
            </w:r>
            <w:r w:rsidR="00CD5C0B">
              <w:rPr>
                <w:rFonts w:ascii="Arial" w:hAnsi="Arial" w:cs="Arial"/>
                <w:sz w:val="18"/>
                <w:szCs w:val="18"/>
              </w:rPr>
              <w:t xml:space="preserve"> </w:t>
            </w:r>
            <w:r w:rsidR="003D07CA" w:rsidRPr="00637580">
              <w:rPr>
                <w:rFonts w:ascii="Arial" w:hAnsi="Arial" w:cs="Arial"/>
                <w:sz w:val="18"/>
                <w:szCs w:val="18"/>
              </w:rPr>
              <w:t>1005.31(b)(1)(vi))</w:t>
            </w:r>
          </w:p>
        </w:tc>
        <w:tc>
          <w:tcPr>
            <w:tcW w:w="660" w:type="dxa"/>
          </w:tcPr>
          <w:p w14:paraId="69981E6B" w14:textId="77777777" w:rsidR="003D07CA" w:rsidRPr="00637580" w:rsidRDefault="003D07CA" w:rsidP="003E1F68">
            <w:pPr>
              <w:spacing w:before="40" w:after="40"/>
              <w:jc w:val="center"/>
              <w:rPr>
                <w:rFonts w:ascii="Arial" w:hAnsi="Arial" w:cs="Arial"/>
                <w:sz w:val="18"/>
                <w:szCs w:val="18"/>
              </w:rPr>
            </w:pPr>
          </w:p>
        </w:tc>
        <w:tc>
          <w:tcPr>
            <w:tcW w:w="660" w:type="dxa"/>
          </w:tcPr>
          <w:p w14:paraId="69981E6C" w14:textId="77777777" w:rsidR="003D07CA" w:rsidRPr="00637580" w:rsidRDefault="003D07CA" w:rsidP="003E1F68">
            <w:pPr>
              <w:spacing w:before="40" w:after="40"/>
              <w:jc w:val="center"/>
              <w:rPr>
                <w:rFonts w:ascii="Arial" w:hAnsi="Arial" w:cs="Arial"/>
                <w:sz w:val="18"/>
                <w:szCs w:val="18"/>
              </w:rPr>
            </w:pPr>
          </w:p>
        </w:tc>
        <w:tc>
          <w:tcPr>
            <w:tcW w:w="660" w:type="dxa"/>
          </w:tcPr>
          <w:p w14:paraId="69981E6D" w14:textId="77777777" w:rsidR="003D07CA" w:rsidRPr="00637580" w:rsidRDefault="003D07CA" w:rsidP="003E1F68">
            <w:pPr>
              <w:spacing w:before="40" w:after="40"/>
              <w:jc w:val="center"/>
              <w:rPr>
                <w:rFonts w:ascii="Arial" w:hAnsi="Arial" w:cs="Arial"/>
                <w:sz w:val="18"/>
                <w:szCs w:val="18"/>
              </w:rPr>
            </w:pPr>
          </w:p>
        </w:tc>
      </w:tr>
      <w:tr w:rsidR="003D07CA" w:rsidRPr="00637580" w14:paraId="69981E73" w14:textId="77777777" w:rsidTr="003E1F68">
        <w:tc>
          <w:tcPr>
            <w:tcW w:w="7020" w:type="dxa"/>
          </w:tcPr>
          <w:p w14:paraId="69981E6F" w14:textId="77777777" w:rsidR="003D07CA" w:rsidRPr="00637580" w:rsidRDefault="003D07CA" w:rsidP="00525B7F">
            <w:pPr>
              <w:pStyle w:val="ChecklistBullet1"/>
              <w:numPr>
                <w:ilvl w:val="0"/>
                <w:numId w:val="112"/>
              </w:numPr>
              <w:tabs>
                <w:tab w:val="clear" w:pos="3600"/>
                <w:tab w:val="left" w:pos="882"/>
              </w:tabs>
              <w:spacing w:before="40" w:after="40"/>
              <w:rPr>
                <w:rFonts w:ascii="Arial" w:hAnsi="Arial" w:cs="Arial"/>
                <w:sz w:val="18"/>
                <w:szCs w:val="18"/>
              </w:rPr>
            </w:pPr>
            <w:r w:rsidRPr="00637580">
              <w:rPr>
                <w:rFonts w:ascii="Arial" w:hAnsi="Arial" w:cs="Arial"/>
                <w:sz w:val="18"/>
                <w:szCs w:val="18"/>
              </w:rPr>
              <w:t>“Exchange Rate”</w:t>
            </w:r>
            <w:r w:rsidR="008972A2">
              <w:rPr>
                <w:rFonts w:ascii="Arial" w:hAnsi="Arial" w:cs="Arial"/>
                <w:sz w:val="18"/>
                <w:szCs w:val="18"/>
              </w:rPr>
              <w:t>;</w:t>
            </w:r>
            <w:r w:rsidRPr="00637580">
              <w:rPr>
                <w:rFonts w:ascii="Arial" w:hAnsi="Arial" w:cs="Arial"/>
                <w:sz w:val="18"/>
                <w:szCs w:val="18"/>
              </w:rPr>
              <w:t xml:space="preserve"> (12 CFR</w:t>
            </w:r>
            <w:r w:rsidR="00CD5C0B">
              <w:rPr>
                <w:rFonts w:ascii="Arial" w:hAnsi="Arial" w:cs="Arial"/>
                <w:sz w:val="18"/>
                <w:szCs w:val="18"/>
              </w:rPr>
              <w:t xml:space="preserve"> </w:t>
            </w:r>
            <w:r w:rsidRPr="00637580">
              <w:rPr>
                <w:rFonts w:ascii="Arial" w:hAnsi="Arial" w:cs="Arial"/>
                <w:sz w:val="18"/>
                <w:szCs w:val="18"/>
              </w:rPr>
              <w:t>1005.31(b)(1)(iv))</w:t>
            </w:r>
          </w:p>
        </w:tc>
        <w:tc>
          <w:tcPr>
            <w:tcW w:w="660" w:type="dxa"/>
          </w:tcPr>
          <w:p w14:paraId="69981E70" w14:textId="77777777" w:rsidR="003D07CA" w:rsidRPr="00637580" w:rsidRDefault="003D07CA" w:rsidP="003E1F68">
            <w:pPr>
              <w:spacing w:before="40" w:after="40"/>
              <w:jc w:val="center"/>
              <w:rPr>
                <w:rFonts w:ascii="Arial" w:hAnsi="Arial" w:cs="Arial"/>
                <w:sz w:val="18"/>
                <w:szCs w:val="18"/>
              </w:rPr>
            </w:pPr>
          </w:p>
        </w:tc>
        <w:tc>
          <w:tcPr>
            <w:tcW w:w="660" w:type="dxa"/>
          </w:tcPr>
          <w:p w14:paraId="69981E71" w14:textId="77777777" w:rsidR="003D07CA" w:rsidRPr="00637580" w:rsidRDefault="003D07CA" w:rsidP="003E1F68">
            <w:pPr>
              <w:spacing w:before="40" w:after="40"/>
              <w:jc w:val="center"/>
              <w:rPr>
                <w:rFonts w:ascii="Arial" w:hAnsi="Arial" w:cs="Arial"/>
                <w:sz w:val="18"/>
                <w:szCs w:val="18"/>
              </w:rPr>
            </w:pPr>
          </w:p>
        </w:tc>
        <w:tc>
          <w:tcPr>
            <w:tcW w:w="660" w:type="dxa"/>
          </w:tcPr>
          <w:p w14:paraId="69981E72" w14:textId="77777777" w:rsidR="003D07CA" w:rsidRPr="00637580" w:rsidRDefault="003D07CA" w:rsidP="003E1F68">
            <w:pPr>
              <w:spacing w:before="40" w:after="40"/>
              <w:jc w:val="center"/>
              <w:rPr>
                <w:rFonts w:ascii="Arial" w:hAnsi="Arial" w:cs="Arial"/>
                <w:sz w:val="18"/>
                <w:szCs w:val="18"/>
              </w:rPr>
            </w:pPr>
          </w:p>
        </w:tc>
      </w:tr>
      <w:tr w:rsidR="003D07CA" w:rsidRPr="00637580" w14:paraId="69981E78" w14:textId="77777777" w:rsidTr="003E1F68">
        <w:tc>
          <w:tcPr>
            <w:tcW w:w="7020" w:type="dxa"/>
          </w:tcPr>
          <w:p w14:paraId="69981E74" w14:textId="77777777" w:rsidR="003D07CA" w:rsidRPr="00637580" w:rsidRDefault="003D07CA" w:rsidP="00525B7F">
            <w:pPr>
              <w:pStyle w:val="ChecklistBullet1"/>
              <w:numPr>
                <w:ilvl w:val="0"/>
                <w:numId w:val="112"/>
              </w:numPr>
              <w:tabs>
                <w:tab w:val="clear" w:pos="3600"/>
                <w:tab w:val="left" w:pos="882"/>
              </w:tabs>
              <w:spacing w:before="40" w:after="40"/>
              <w:rPr>
                <w:rFonts w:ascii="Arial" w:hAnsi="Arial" w:cs="Arial"/>
                <w:sz w:val="18"/>
                <w:szCs w:val="18"/>
              </w:rPr>
            </w:pPr>
            <w:r w:rsidRPr="00637580">
              <w:rPr>
                <w:rFonts w:ascii="Arial" w:hAnsi="Arial" w:cs="Arial"/>
                <w:sz w:val="18"/>
                <w:szCs w:val="18"/>
              </w:rPr>
              <w:t xml:space="preserve">“Total to </w:t>
            </w:r>
            <w:r w:rsidR="00F156C6">
              <w:rPr>
                <w:rFonts w:ascii="Arial" w:hAnsi="Arial" w:cs="Arial"/>
                <w:sz w:val="18"/>
                <w:szCs w:val="18"/>
              </w:rPr>
              <w:t>Recipient”</w:t>
            </w:r>
            <w:r w:rsidR="008972A2">
              <w:rPr>
                <w:rFonts w:ascii="Arial" w:hAnsi="Arial" w:cs="Arial"/>
                <w:sz w:val="18"/>
                <w:szCs w:val="18"/>
              </w:rPr>
              <w:t>; and</w:t>
            </w:r>
            <w:r w:rsidRPr="00637580">
              <w:rPr>
                <w:rFonts w:ascii="Arial" w:hAnsi="Arial" w:cs="Arial"/>
                <w:sz w:val="18"/>
                <w:szCs w:val="18"/>
              </w:rPr>
              <w:t xml:space="preserve"> (12 CFR</w:t>
            </w:r>
            <w:r w:rsidR="00CD5C0B">
              <w:rPr>
                <w:rFonts w:ascii="Arial" w:hAnsi="Arial" w:cs="Arial"/>
                <w:sz w:val="18"/>
                <w:szCs w:val="18"/>
              </w:rPr>
              <w:t xml:space="preserve"> </w:t>
            </w:r>
            <w:r w:rsidRPr="00637580">
              <w:rPr>
                <w:rFonts w:ascii="Arial" w:hAnsi="Arial" w:cs="Arial"/>
                <w:sz w:val="18"/>
                <w:szCs w:val="18"/>
              </w:rPr>
              <w:t xml:space="preserve">1005.31(b)(1)(vii)) </w:t>
            </w:r>
          </w:p>
        </w:tc>
        <w:tc>
          <w:tcPr>
            <w:tcW w:w="660" w:type="dxa"/>
          </w:tcPr>
          <w:p w14:paraId="69981E75" w14:textId="77777777" w:rsidR="003D07CA" w:rsidRPr="00637580" w:rsidRDefault="003D07CA" w:rsidP="003E1F68">
            <w:pPr>
              <w:spacing w:before="40" w:after="40"/>
              <w:jc w:val="center"/>
              <w:rPr>
                <w:rFonts w:ascii="Arial" w:hAnsi="Arial" w:cs="Arial"/>
                <w:sz w:val="18"/>
                <w:szCs w:val="18"/>
              </w:rPr>
            </w:pPr>
          </w:p>
        </w:tc>
        <w:tc>
          <w:tcPr>
            <w:tcW w:w="660" w:type="dxa"/>
          </w:tcPr>
          <w:p w14:paraId="69981E76" w14:textId="77777777" w:rsidR="003D07CA" w:rsidRPr="00637580" w:rsidRDefault="003D07CA" w:rsidP="003E1F68">
            <w:pPr>
              <w:spacing w:before="40" w:after="40"/>
              <w:jc w:val="center"/>
              <w:rPr>
                <w:rFonts w:ascii="Arial" w:hAnsi="Arial" w:cs="Arial"/>
                <w:sz w:val="18"/>
                <w:szCs w:val="18"/>
              </w:rPr>
            </w:pPr>
          </w:p>
        </w:tc>
        <w:tc>
          <w:tcPr>
            <w:tcW w:w="660" w:type="dxa"/>
          </w:tcPr>
          <w:p w14:paraId="69981E77" w14:textId="77777777" w:rsidR="003D07CA" w:rsidRPr="00637580" w:rsidRDefault="003D07CA" w:rsidP="003E1F68">
            <w:pPr>
              <w:spacing w:before="40" w:after="40"/>
              <w:jc w:val="center"/>
              <w:rPr>
                <w:rFonts w:ascii="Arial" w:hAnsi="Arial" w:cs="Arial"/>
                <w:sz w:val="18"/>
                <w:szCs w:val="18"/>
              </w:rPr>
            </w:pPr>
          </w:p>
        </w:tc>
      </w:tr>
      <w:tr w:rsidR="003D07CA" w:rsidRPr="00637580" w14:paraId="69981E7D" w14:textId="77777777" w:rsidTr="003E1F68">
        <w:tc>
          <w:tcPr>
            <w:tcW w:w="7020" w:type="dxa"/>
            <w:tcBorders>
              <w:bottom w:val="single" w:sz="4" w:space="0" w:color="auto"/>
            </w:tcBorders>
          </w:tcPr>
          <w:p w14:paraId="69981E79" w14:textId="77777777" w:rsidR="003D07CA" w:rsidRPr="00637580" w:rsidRDefault="003D07CA" w:rsidP="00525B7F">
            <w:pPr>
              <w:pStyle w:val="ChecklistBullet1"/>
              <w:numPr>
                <w:ilvl w:val="0"/>
                <w:numId w:val="112"/>
              </w:numPr>
              <w:tabs>
                <w:tab w:val="clear" w:pos="3600"/>
                <w:tab w:val="left" w:pos="882"/>
              </w:tabs>
              <w:spacing w:before="40" w:after="40"/>
              <w:rPr>
                <w:rFonts w:ascii="Arial" w:hAnsi="Arial" w:cs="Arial"/>
                <w:sz w:val="18"/>
                <w:szCs w:val="18"/>
              </w:rPr>
            </w:pPr>
            <w:r w:rsidRPr="00637580">
              <w:rPr>
                <w:rFonts w:ascii="Arial" w:eastAsia="+mn-ea" w:hAnsi="Arial" w:cs="Arial"/>
                <w:sz w:val="18"/>
                <w:szCs w:val="18"/>
              </w:rPr>
              <w:t xml:space="preserve">If applicable, a disclaimer </w:t>
            </w:r>
            <w:r w:rsidRPr="00637580">
              <w:rPr>
                <w:rFonts w:ascii="Arial" w:hAnsi="Arial" w:cs="Arial"/>
                <w:sz w:val="18"/>
                <w:szCs w:val="18"/>
              </w:rPr>
              <w:t>statement that non-covered third-party fees or taxes collected on the remittance transfer by a third person may apply, resulting in the designated recipient receiving less than the amount disclosed? (12 CFR 1005.31(b)(1)(viii))</w:t>
            </w:r>
          </w:p>
        </w:tc>
        <w:tc>
          <w:tcPr>
            <w:tcW w:w="660" w:type="dxa"/>
            <w:tcBorders>
              <w:bottom w:val="single" w:sz="4" w:space="0" w:color="auto"/>
            </w:tcBorders>
          </w:tcPr>
          <w:p w14:paraId="69981E7A"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E7B"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E7C" w14:textId="77777777" w:rsidR="003D07CA" w:rsidRPr="00637580" w:rsidRDefault="003D07CA" w:rsidP="003E1F68">
            <w:pPr>
              <w:spacing w:before="40" w:after="40"/>
              <w:jc w:val="center"/>
              <w:rPr>
                <w:rFonts w:ascii="Arial" w:hAnsi="Arial" w:cs="Arial"/>
                <w:sz w:val="18"/>
                <w:szCs w:val="18"/>
              </w:rPr>
            </w:pPr>
          </w:p>
        </w:tc>
      </w:tr>
      <w:tr w:rsidR="003D07CA" w:rsidRPr="00637580" w14:paraId="69981E82" w14:textId="77777777" w:rsidTr="003E1F68">
        <w:tc>
          <w:tcPr>
            <w:tcW w:w="7020" w:type="dxa"/>
            <w:shd w:val="clear" w:color="auto" w:fill="D9D9D9" w:themeFill="background1" w:themeFillShade="D9"/>
          </w:tcPr>
          <w:p w14:paraId="69981E7E" w14:textId="77777777" w:rsidR="003D07CA" w:rsidRPr="00637580" w:rsidRDefault="003D07CA" w:rsidP="00083FC9">
            <w:pPr>
              <w:spacing w:before="40" w:after="40"/>
              <w:rPr>
                <w:rFonts w:ascii="Arial" w:hAnsi="Arial" w:cs="Arial"/>
                <w:sz w:val="18"/>
                <w:szCs w:val="18"/>
              </w:rPr>
            </w:pPr>
            <w:r w:rsidRPr="00637580">
              <w:rPr>
                <w:rFonts w:ascii="Arial" w:hAnsi="Arial" w:cs="Arial"/>
                <w:b/>
                <w:sz w:val="18"/>
                <w:szCs w:val="18"/>
              </w:rPr>
              <w:t xml:space="preserve">12 CFR 1005.31(b)(2) – Receipt </w:t>
            </w:r>
          </w:p>
        </w:tc>
        <w:tc>
          <w:tcPr>
            <w:tcW w:w="660" w:type="dxa"/>
            <w:tcBorders>
              <w:bottom w:val="single" w:sz="4" w:space="0" w:color="auto"/>
            </w:tcBorders>
            <w:shd w:val="clear" w:color="auto" w:fill="D9D9D9" w:themeFill="background1" w:themeFillShade="D9"/>
          </w:tcPr>
          <w:p w14:paraId="69981E7F"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D9D9D9" w:themeFill="background1" w:themeFillShade="D9"/>
          </w:tcPr>
          <w:p w14:paraId="69981E80"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D9D9D9" w:themeFill="background1" w:themeFillShade="D9"/>
          </w:tcPr>
          <w:p w14:paraId="69981E81" w14:textId="77777777" w:rsidR="003D07CA" w:rsidRPr="00637580" w:rsidRDefault="003D07CA" w:rsidP="003E1F68">
            <w:pPr>
              <w:spacing w:before="40" w:after="40"/>
              <w:jc w:val="center"/>
              <w:rPr>
                <w:rFonts w:ascii="Arial" w:hAnsi="Arial" w:cs="Arial"/>
                <w:sz w:val="18"/>
                <w:szCs w:val="18"/>
              </w:rPr>
            </w:pPr>
          </w:p>
        </w:tc>
      </w:tr>
      <w:tr w:rsidR="003D07CA" w:rsidRPr="00637580" w14:paraId="69981E87" w14:textId="77777777" w:rsidTr="003E1F68">
        <w:tc>
          <w:tcPr>
            <w:tcW w:w="7020" w:type="dxa"/>
          </w:tcPr>
          <w:p w14:paraId="69981E83" w14:textId="77777777" w:rsidR="003D07CA" w:rsidRPr="00637580" w:rsidRDefault="003D07CA" w:rsidP="00525B7F">
            <w:pPr>
              <w:numPr>
                <w:ilvl w:val="0"/>
                <w:numId w:val="101"/>
              </w:numPr>
              <w:spacing w:before="40" w:after="40"/>
              <w:ind w:left="522" w:hanging="522"/>
              <w:rPr>
                <w:rFonts w:ascii="Arial" w:hAnsi="Arial" w:cs="Arial"/>
                <w:sz w:val="18"/>
                <w:szCs w:val="18"/>
              </w:rPr>
            </w:pPr>
            <w:r w:rsidRPr="00637580">
              <w:rPr>
                <w:rFonts w:ascii="Arial" w:hAnsi="Arial" w:cs="Arial"/>
                <w:sz w:val="18"/>
                <w:szCs w:val="18"/>
              </w:rPr>
              <w:t>Do the provider’s receipts appropriately calculate and disclose to the recipient the following information as applicable, using the terms in quotes (or substantially similar terms) listed below, as applicable:</w:t>
            </w:r>
          </w:p>
        </w:tc>
        <w:tc>
          <w:tcPr>
            <w:tcW w:w="660" w:type="dxa"/>
            <w:shd w:val="clear" w:color="auto" w:fill="D9D9D9" w:themeFill="background1" w:themeFillShade="D9"/>
          </w:tcPr>
          <w:p w14:paraId="69981E84"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85"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86" w14:textId="77777777" w:rsidR="003D07CA" w:rsidRPr="00637580" w:rsidRDefault="003D07CA" w:rsidP="003E1F68">
            <w:pPr>
              <w:spacing w:before="40" w:after="40"/>
              <w:jc w:val="center"/>
              <w:rPr>
                <w:rFonts w:ascii="Arial" w:hAnsi="Arial" w:cs="Arial"/>
                <w:sz w:val="18"/>
                <w:szCs w:val="18"/>
              </w:rPr>
            </w:pPr>
          </w:p>
        </w:tc>
      </w:tr>
      <w:tr w:rsidR="003D07CA" w:rsidRPr="00637580" w14:paraId="69981E8C" w14:textId="77777777" w:rsidTr="003E1F68">
        <w:tc>
          <w:tcPr>
            <w:tcW w:w="7020" w:type="dxa"/>
          </w:tcPr>
          <w:p w14:paraId="69981E88" w14:textId="77777777" w:rsidR="003D07CA" w:rsidRPr="00637580" w:rsidRDefault="00B30BB6" w:rsidP="00525B7F">
            <w:pPr>
              <w:pStyle w:val="ChecklistBullet1"/>
              <w:numPr>
                <w:ilvl w:val="0"/>
                <w:numId w:val="113"/>
              </w:numPr>
              <w:tabs>
                <w:tab w:val="clear" w:pos="3600"/>
                <w:tab w:val="left" w:pos="882"/>
              </w:tabs>
              <w:spacing w:before="40" w:after="40"/>
              <w:ind w:left="882"/>
              <w:rPr>
                <w:rFonts w:ascii="Arial" w:hAnsi="Arial" w:cs="Arial"/>
                <w:sz w:val="18"/>
                <w:szCs w:val="18"/>
              </w:rPr>
            </w:pPr>
            <w:r>
              <w:rPr>
                <w:rFonts w:ascii="Arial" w:hAnsi="Arial" w:cs="Arial"/>
                <w:sz w:val="18"/>
                <w:szCs w:val="18"/>
              </w:rPr>
              <w:t>A</w:t>
            </w:r>
            <w:r w:rsidR="003D07CA" w:rsidRPr="00637580">
              <w:rPr>
                <w:rFonts w:ascii="Arial" w:hAnsi="Arial" w:cs="Arial"/>
                <w:sz w:val="18"/>
                <w:szCs w:val="18"/>
              </w:rPr>
              <w:t>ll the information required to be provided in the prepayment disclosure</w:t>
            </w:r>
            <w:r w:rsidR="008972A2">
              <w:rPr>
                <w:rFonts w:ascii="Arial" w:hAnsi="Arial" w:cs="Arial"/>
                <w:sz w:val="18"/>
                <w:szCs w:val="18"/>
              </w:rPr>
              <w:t>;</w:t>
            </w:r>
            <w:r w:rsidR="003D07CA" w:rsidRPr="00637580">
              <w:rPr>
                <w:rFonts w:ascii="Arial" w:hAnsi="Arial" w:cs="Arial"/>
                <w:sz w:val="18"/>
                <w:szCs w:val="18"/>
              </w:rPr>
              <w:t xml:space="preserve"> (12 CFR 1005.31(b)(2)(i))</w:t>
            </w:r>
          </w:p>
        </w:tc>
        <w:tc>
          <w:tcPr>
            <w:tcW w:w="660" w:type="dxa"/>
          </w:tcPr>
          <w:p w14:paraId="69981E89" w14:textId="77777777" w:rsidR="003D07CA" w:rsidRPr="00637580" w:rsidRDefault="003D07CA" w:rsidP="003E1F68">
            <w:pPr>
              <w:spacing w:before="40" w:after="40"/>
              <w:jc w:val="center"/>
              <w:rPr>
                <w:rFonts w:ascii="Arial" w:hAnsi="Arial" w:cs="Arial"/>
                <w:sz w:val="18"/>
                <w:szCs w:val="18"/>
              </w:rPr>
            </w:pPr>
          </w:p>
        </w:tc>
        <w:tc>
          <w:tcPr>
            <w:tcW w:w="660" w:type="dxa"/>
          </w:tcPr>
          <w:p w14:paraId="69981E8A" w14:textId="77777777" w:rsidR="003D07CA" w:rsidRPr="00637580" w:rsidRDefault="003D07CA" w:rsidP="003E1F68">
            <w:pPr>
              <w:spacing w:before="40" w:after="40"/>
              <w:jc w:val="center"/>
              <w:rPr>
                <w:rFonts w:ascii="Arial" w:hAnsi="Arial" w:cs="Arial"/>
                <w:sz w:val="18"/>
                <w:szCs w:val="18"/>
              </w:rPr>
            </w:pPr>
          </w:p>
        </w:tc>
        <w:tc>
          <w:tcPr>
            <w:tcW w:w="660" w:type="dxa"/>
          </w:tcPr>
          <w:p w14:paraId="69981E8B" w14:textId="77777777" w:rsidR="003D07CA" w:rsidRPr="00637580" w:rsidRDefault="003D07CA" w:rsidP="003E1F68">
            <w:pPr>
              <w:spacing w:before="40" w:after="40"/>
              <w:jc w:val="center"/>
              <w:rPr>
                <w:rFonts w:ascii="Arial" w:hAnsi="Arial" w:cs="Arial"/>
                <w:sz w:val="18"/>
                <w:szCs w:val="18"/>
              </w:rPr>
            </w:pPr>
          </w:p>
        </w:tc>
      </w:tr>
      <w:tr w:rsidR="003D07CA" w:rsidRPr="00637580" w14:paraId="69981E91" w14:textId="77777777" w:rsidTr="003E1F68">
        <w:tc>
          <w:tcPr>
            <w:tcW w:w="7020" w:type="dxa"/>
          </w:tcPr>
          <w:p w14:paraId="69981E8D" w14:textId="77777777" w:rsidR="003D07CA" w:rsidRPr="00637580" w:rsidRDefault="009C668C" w:rsidP="00525B7F">
            <w:pPr>
              <w:pStyle w:val="ChecklistBullet1"/>
              <w:numPr>
                <w:ilvl w:val="0"/>
                <w:numId w:val="113"/>
              </w:numPr>
              <w:tabs>
                <w:tab w:val="clear" w:pos="3600"/>
                <w:tab w:val="left" w:pos="882"/>
              </w:tabs>
              <w:spacing w:before="40" w:after="40"/>
              <w:ind w:left="882"/>
              <w:rPr>
                <w:rFonts w:ascii="Arial" w:hAnsi="Arial" w:cs="Arial"/>
                <w:sz w:val="18"/>
                <w:szCs w:val="18"/>
              </w:rPr>
            </w:pPr>
            <w:r>
              <w:rPr>
                <w:rFonts w:ascii="Arial" w:hAnsi="Arial" w:cs="Arial"/>
                <w:sz w:val="18"/>
                <w:szCs w:val="18"/>
              </w:rPr>
              <w:t>“Date Available”</w:t>
            </w:r>
            <w:r w:rsidR="008972A2">
              <w:rPr>
                <w:rFonts w:ascii="Arial" w:hAnsi="Arial" w:cs="Arial"/>
                <w:sz w:val="18"/>
                <w:szCs w:val="18"/>
              </w:rPr>
              <w:t>;</w:t>
            </w:r>
            <w:r w:rsidR="003D07CA" w:rsidRPr="00637580">
              <w:rPr>
                <w:rFonts w:ascii="Arial" w:hAnsi="Arial" w:cs="Arial"/>
                <w:sz w:val="18"/>
                <w:szCs w:val="18"/>
              </w:rPr>
              <w:t>(12 CFR 1005.31(b)(2)(ii))</w:t>
            </w:r>
          </w:p>
        </w:tc>
        <w:tc>
          <w:tcPr>
            <w:tcW w:w="660" w:type="dxa"/>
          </w:tcPr>
          <w:p w14:paraId="69981E8E" w14:textId="77777777" w:rsidR="003D07CA" w:rsidRPr="00637580" w:rsidRDefault="003D07CA" w:rsidP="003E1F68">
            <w:pPr>
              <w:spacing w:before="40" w:after="40"/>
              <w:jc w:val="center"/>
              <w:rPr>
                <w:rFonts w:ascii="Arial" w:hAnsi="Arial" w:cs="Arial"/>
                <w:sz w:val="18"/>
                <w:szCs w:val="18"/>
              </w:rPr>
            </w:pPr>
          </w:p>
        </w:tc>
        <w:tc>
          <w:tcPr>
            <w:tcW w:w="660" w:type="dxa"/>
          </w:tcPr>
          <w:p w14:paraId="69981E8F" w14:textId="77777777" w:rsidR="003D07CA" w:rsidRPr="00637580" w:rsidRDefault="003D07CA" w:rsidP="003E1F68">
            <w:pPr>
              <w:spacing w:before="40" w:after="40"/>
              <w:jc w:val="center"/>
              <w:rPr>
                <w:rFonts w:ascii="Arial" w:hAnsi="Arial" w:cs="Arial"/>
                <w:sz w:val="18"/>
                <w:szCs w:val="18"/>
              </w:rPr>
            </w:pPr>
          </w:p>
        </w:tc>
        <w:tc>
          <w:tcPr>
            <w:tcW w:w="660" w:type="dxa"/>
          </w:tcPr>
          <w:p w14:paraId="69981E90" w14:textId="77777777" w:rsidR="003D07CA" w:rsidRPr="00637580" w:rsidRDefault="003D07CA" w:rsidP="003E1F68">
            <w:pPr>
              <w:spacing w:before="40" w:after="40"/>
              <w:jc w:val="center"/>
              <w:rPr>
                <w:rFonts w:ascii="Arial" w:hAnsi="Arial" w:cs="Arial"/>
                <w:sz w:val="18"/>
                <w:szCs w:val="18"/>
              </w:rPr>
            </w:pPr>
          </w:p>
        </w:tc>
      </w:tr>
      <w:tr w:rsidR="003D07CA" w:rsidRPr="00637580" w14:paraId="69981E96" w14:textId="77777777" w:rsidTr="003E1F68">
        <w:tc>
          <w:tcPr>
            <w:tcW w:w="7020" w:type="dxa"/>
          </w:tcPr>
          <w:p w14:paraId="69981E92" w14:textId="77777777" w:rsidR="003D07CA" w:rsidRPr="00637580" w:rsidRDefault="009C668C" w:rsidP="00525B7F">
            <w:pPr>
              <w:pStyle w:val="ChecklistBullet1"/>
              <w:numPr>
                <w:ilvl w:val="0"/>
                <w:numId w:val="113"/>
              </w:numPr>
              <w:tabs>
                <w:tab w:val="clear" w:pos="3600"/>
                <w:tab w:val="left" w:pos="882"/>
              </w:tabs>
              <w:spacing w:before="40" w:after="40"/>
              <w:ind w:left="882"/>
              <w:rPr>
                <w:rFonts w:ascii="Arial" w:hAnsi="Arial" w:cs="Arial"/>
                <w:sz w:val="18"/>
                <w:szCs w:val="18"/>
              </w:rPr>
            </w:pPr>
            <w:r>
              <w:rPr>
                <w:rFonts w:ascii="Arial" w:hAnsi="Arial" w:cs="Arial"/>
                <w:sz w:val="18"/>
                <w:szCs w:val="18"/>
              </w:rPr>
              <w:t>“Recipient”</w:t>
            </w:r>
            <w:r w:rsidR="008972A2">
              <w:rPr>
                <w:rFonts w:ascii="Arial" w:hAnsi="Arial" w:cs="Arial"/>
                <w:sz w:val="18"/>
                <w:szCs w:val="18"/>
              </w:rPr>
              <w:t>;</w:t>
            </w:r>
            <w:r w:rsidR="003D07CA" w:rsidRPr="00637580">
              <w:rPr>
                <w:rFonts w:ascii="Arial" w:hAnsi="Arial" w:cs="Arial"/>
                <w:sz w:val="18"/>
                <w:szCs w:val="18"/>
              </w:rPr>
              <w:t>(12 CFR 1005.31(b)(2)(iii))</w:t>
            </w:r>
          </w:p>
        </w:tc>
        <w:tc>
          <w:tcPr>
            <w:tcW w:w="660" w:type="dxa"/>
          </w:tcPr>
          <w:p w14:paraId="69981E93" w14:textId="77777777" w:rsidR="003D07CA" w:rsidRPr="00637580" w:rsidRDefault="003D07CA" w:rsidP="003E1F68">
            <w:pPr>
              <w:spacing w:before="40" w:after="40"/>
              <w:jc w:val="center"/>
              <w:rPr>
                <w:rFonts w:ascii="Arial" w:hAnsi="Arial" w:cs="Arial"/>
                <w:sz w:val="18"/>
                <w:szCs w:val="18"/>
              </w:rPr>
            </w:pPr>
          </w:p>
        </w:tc>
        <w:tc>
          <w:tcPr>
            <w:tcW w:w="660" w:type="dxa"/>
          </w:tcPr>
          <w:p w14:paraId="69981E94" w14:textId="77777777" w:rsidR="003D07CA" w:rsidRPr="00637580" w:rsidRDefault="003D07CA" w:rsidP="003E1F68">
            <w:pPr>
              <w:spacing w:before="40" w:after="40"/>
              <w:jc w:val="center"/>
              <w:rPr>
                <w:rFonts w:ascii="Arial" w:hAnsi="Arial" w:cs="Arial"/>
                <w:sz w:val="18"/>
                <w:szCs w:val="18"/>
              </w:rPr>
            </w:pPr>
          </w:p>
        </w:tc>
        <w:tc>
          <w:tcPr>
            <w:tcW w:w="660" w:type="dxa"/>
          </w:tcPr>
          <w:p w14:paraId="69981E95" w14:textId="77777777" w:rsidR="003D07CA" w:rsidRPr="00637580" w:rsidRDefault="003D07CA" w:rsidP="003E1F68">
            <w:pPr>
              <w:spacing w:before="40" w:after="40"/>
              <w:jc w:val="center"/>
              <w:rPr>
                <w:rFonts w:ascii="Arial" w:hAnsi="Arial" w:cs="Arial"/>
                <w:sz w:val="18"/>
                <w:szCs w:val="18"/>
              </w:rPr>
            </w:pPr>
          </w:p>
        </w:tc>
      </w:tr>
      <w:tr w:rsidR="003D07CA" w:rsidRPr="00637580" w14:paraId="69981E9D" w14:textId="77777777" w:rsidTr="003E1F68">
        <w:tc>
          <w:tcPr>
            <w:tcW w:w="7020" w:type="dxa"/>
          </w:tcPr>
          <w:p w14:paraId="69981E97" w14:textId="77777777" w:rsidR="003D07CA" w:rsidRPr="00637580" w:rsidRDefault="00B30BB6" w:rsidP="00525B7F">
            <w:pPr>
              <w:pStyle w:val="ChecklistBullet1"/>
              <w:numPr>
                <w:ilvl w:val="0"/>
                <w:numId w:val="113"/>
              </w:numPr>
              <w:tabs>
                <w:tab w:val="clear" w:pos="3600"/>
                <w:tab w:val="left" w:pos="882"/>
              </w:tabs>
              <w:spacing w:before="40" w:after="40"/>
              <w:ind w:left="882"/>
              <w:rPr>
                <w:rFonts w:ascii="Arial" w:hAnsi="Arial" w:cs="Arial"/>
                <w:sz w:val="18"/>
                <w:szCs w:val="18"/>
              </w:rPr>
            </w:pPr>
            <w:r>
              <w:rPr>
                <w:rFonts w:ascii="Arial" w:hAnsi="Arial" w:cs="Arial"/>
                <w:sz w:val="18"/>
                <w:szCs w:val="18"/>
              </w:rPr>
              <w:t>A</w:t>
            </w:r>
            <w:r w:rsidR="003D07CA" w:rsidRPr="00637580">
              <w:rPr>
                <w:rFonts w:ascii="Arial" w:hAnsi="Arial" w:cs="Arial"/>
                <w:sz w:val="18"/>
                <w:szCs w:val="18"/>
              </w:rPr>
              <w:t xml:space="preserve"> statement about the sender’s error resolution and cancellation rights, using language set forth in Model Form A-37 of appendix A or substantially similar language</w:t>
            </w:r>
            <w:r>
              <w:rPr>
                <w:rFonts w:ascii="Arial" w:hAnsi="Arial" w:cs="Arial"/>
                <w:sz w:val="18"/>
                <w:szCs w:val="18"/>
              </w:rPr>
              <w:t>;</w:t>
            </w:r>
            <w:r w:rsidR="003D07CA" w:rsidRPr="00637580">
              <w:rPr>
                <w:rFonts w:ascii="Arial" w:hAnsi="Arial" w:cs="Arial"/>
                <w:sz w:val="18"/>
                <w:szCs w:val="18"/>
              </w:rPr>
              <w:t xml:space="preserve"> (12 CFR 1005.31(b)(2)(iv))</w:t>
            </w:r>
          </w:p>
          <w:p w14:paraId="69981E98" w14:textId="77777777" w:rsidR="003D07CA" w:rsidRPr="00637580" w:rsidRDefault="003D07CA" w:rsidP="003A4C17">
            <w:pPr>
              <w:pStyle w:val="ChecklistBullet1"/>
              <w:numPr>
                <w:ilvl w:val="0"/>
                <w:numId w:val="0"/>
              </w:numPr>
              <w:tabs>
                <w:tab w:val="clear" w:pos="3600"/>
                <w:tab w:val="left" w:pos="882"/>
              </w:tabs>
              <w:spacing w:before="40" w:after="40"/>
              <w:ind w:left="522"/>
              <w:rPr>
                <w:rFonts w:ascii="Arial" w:hAnsi="Arial" w:cs="Arial"/>
                <w:sz w:val="18"/>
                <w:szCs w:val="18"/>
              </w:rPr>
            </w:pPr>
          </w:p>
          <w:p w14:paraId="69981E99" w14:textId="77777777" w:rsidR="003D07CA" w:rsidRPr="00637580" w:rsidRDefault="003D07CA" w:rsidP="00C0379C">
            <w:pPr>
              <w:pStyle w:val="ChecklistBullet1"/>
              <w:numPr>
                <w:ilvl w:val="0"/>
                <w:numId w:val="0"/>
              </w:numPr>
              <w:tabs>
                <w:tab w:val="clear" w:pos="3600"/>
                <w:tab w:val="left" w:pos="882"/>
              </w:tabs>
              <w:spacing w:before="40" w:after="40"/>
              <w:ind w:left="522"/>
              <w:rPr>
                <w:rFonts w:ascii="Arial" w:hAnsi="Arial" w:cs="Arial"/>
                <w:b/>
                <w:bCs/>
                <w:color w:val="000000"/>
                <w:sz w:val="18"/>
                <w:szCs w:val="18"/>
              </w:rPr>
            </w:pPr>
            <w:r w:rsidRPr="00637580">
              <w:rPr>
                <w:rFonts w:ascii="Arial" w:hAnsi="Arial" w:cs="Arial"/>
                <w:b/>
                <w:sz w:val="18"/>
                <w:szCs w:val="18"/>
              </w:rPr>
              <w:t>Note:</w:t>
            </w:r>
            <w:r w:rsidRPr="00637580">
              <w:rPr>
                <w:rFonts w:ascii="Arial" w:hAnsi="Arial" w:cs="Arial"/>
                <w:sz w:val="18"/>
                <w:szCs w:val="18"/>
              </w:rPr>
              <w:t xml:space="preserve"> If the transfer is scheduled at least three business days before the date of the transfer, the statement about the sender’s cancellation rights should reflect the requirements of 12 CFR</w:t>
            </w:r>
            <w:r w:rsidR="00CD5C0B">
              <w:rPr>
                <w:rFonts w:ascii="Arial" w:hAnsi="Arial" w:cs="Arial"/>
                <w:sz w:val="18"/>
                <w:szCs w:val="18"/>
              </w:rPr>
              <w:t xml:space="preserve"> </w:t>
            </w:r>
            <w:r w:rsidRPr="00637580">
              <w:rPr>
                <w:rFonts w:ascii="Arial" w:hAnsi="Arial" w:cs="Arial"/>
                <w:sz w:val="18"/>
                <w:szCs w:val="18"/>
              </w:rPr>
              <w:t>1005.36(c).</w:t>
            </w:r>
          </w:p>
        </w:tc>
        <w:tc>
          <w:tcPr>
            <w:tcW w:w="660" w:type="dxa"/>
          </w:tcPr>
          <w:p w14:paraId="69981E9A" w14:textId="77777777" w:rsidR="003D07CA" w:rsidRPr="00637580" w:rsidRDefault="003D07CA" w:rsidP="003E1F68">
            <w:pPr>
              <w:spacing w:before="40" w:after="40"/>
              <w:jc w:val="center"/>
              <w:rPr>
                <w:rFonts w:ascii="Arial" w:hAnsi="Arial" w:cs="Arial"/>
                <w:sz w:val="18"/>
                <w:szCs w:val="18"/>
              </w:rPr>
            </w:pPr>
          </w:p>
        </w:tc>
        <w:tc>
          <w:tcPr>
            <w:tcW w:w="660" w:type="dxa"/>
          </w:tcPr>
          <w:p w14:paraId="69981E9B" w14:textId="77777777" w:rsidR="003D07CA" w:rsidRPr="00637580" w:rsidRDefault="003D07CA" w:rsidP="003E1F68">
            <w:pPr>
              <w:spacing w:before="40" w:after="40"/>
              <w:jc w:val="center"/>
              <w:rPr>
                <w:rFonts w:ascii="Arial" w:hAnsi="Arial" w:cs="Arial"/>
                <w:sz w:val="18"/>
                <w:szCs w:val="18"/>
              </w:rPr>
            </w:pPr>
          </w:p>
        </w:tc>
        <w:tc>
          <w:tcPr>
            <w:tcW w:w="660" w:type="dxa"/>
          </w:tcPr>
          <w:p w14:paraId="69981E9C" w14:textId="77777777" w:rsidR="003D07CA" w:rsidRPr="00637580" w:rsidRDefault="003D07CA" w:rsidP="003E1F68">
            <w:pPr>
              <w:spacing w:before="40" w:after="40"/>
              <w:jc w:val="center"/>
              <w:rPr>
                <w:rFonts w:ascii="Arial" w:hAnsi="Arial" w:cs="Arial"/>
                <w:sz w:val="18"/>
                <w:szCs w:val="18"/>
              </w:rPr>
            </w:pPr>
          </w:p>
        </w:tc>
      </w:tr>
      <w:tr w:rsidR="003D07CA" w:rsidRPr="00637580" w14:paraId="69981EA2" w14:textId="77777777" w:rsidTr="003E1F68">
        <w:tc>
          <w:tcPr>
            <w:tcW w:w="7020" w:type="dxa"/>
          </w:tcPr>
          <w:p w14:paraId="69981E9E" w14:textId="77777777" w:rsidR="003D07CA" w:rsidRPr="007C7C6F" w:rsidRDefault="00C63BAE" w:rsidP="00525B7F">
            <w:pPr>
              <w:pStyle w:val="ChecklistBullet1"/>
              <w:numPr>
                <w:ilvl w:val="0"/>
                <w:numId w:val="113"/>
              </w:numPr>
              <w:tabs>
                <w:tab w:val="clear" w:pos="3600"/>
                <w:tab w:val="left" w:pos="882"/>
              </w:tabs>
              <w:spacing w:before="40" w:after="40"/>
              <w:ind w:left="882"/>
              <w:rPr>
                <w:rFonts w:ascii="Arial" w:hAnsi="Arial" w:cs="Arial"/>
                <w:sz w:val="18"/>
                <w:szCs w:val="18"/>
              </w:rPr>
            </w:pPr>
            <w:r>
              <w:rPr>
                <w:rFonts w:ascii="Arial" w:hAnsi="Arial" w:cs="Arial"/>
                <w:sz w:val="18"/>
                <w:szCs w:val="18"/>
              </w:rPr>
              <w:t>N</w:t>
            </w:r>
            <w:r w:rsidR="003D07CA" w:rsidRPr="00637580">
              <w:rPr>
                <w:rFonts w:ascii="Arial" w:hAnsi="Arial" w:cs="Arial"/>
                <w:sz w:val="18"/>
                <w:szCs w:val="18"/>
              </w:rPr>
              <w:t>ame, telephone number(s)</w:t>
            </w:r>
            <w:r w:rsidR="006F0AF4">
              <w:rPr>
                <w:rFonts w:ascii="Arial" w:hAnsi="Arial" w:cs="Arial"/>
                <w:sz w:val="18"/>
                <w:szCs w:val="18"/>
              </w:rPr>
              <w:t>,</w:t>
            </w:r>
            <w:r w:rsidR="003D07CA" w:rsidRPr="00637580">
              <w:rPr>
                <w:rFonts w:ascii="Arial" w:hAnsi="Arial" w:cs="Arial"/>
                <w:sz w:val="18"/>
                <w:szCs w:val="18"/>
              </w:rPr>
              <w:t xml:space="preserve"> and </w:t>
            </w:r>
            <w:r w:rsidR="006F0AF4">
              <w:rPr>
                <w:rFonts w:ascii="Arial" w:hAnsi="Arial" w:cs="Arial"/>
                <w:sz w:val="18"/>
                <w:szCs w:val="18"/>
              </w:rPr>
              <w:t>W</w:t>
            </w:r>
            <w:r w:rsidR="003D07CA" w:rsidRPr="00637580">
              <w:rPr>
                <w:rFonts w:ascii="Arial" w:hAnsi="Arial" w:cs="Arial"/>
                <w:sz w:val="18"/>
                <w:szCs w:val="18"/>
              </w:rPr>
              <w:t>eb</w:t>
            </w:r>
            <w:r w:rsidR="006F0AF4">
              <w:rPr>
                <w:rFonts w:ascii="Arial" w:hAnsi="Arial" w:cs="Arial"/>
                <w:sz w:val="18"/>
                <w:szCs w:val="18"/>
              </w:rPr>
              <w:t xml:space="preserve"> </w:t>
            </w:r>
            <w:r w:rsidR="003D07CA" w:rsidRPr="00637580">
              <w:rPr>
                <w:rFonts w:ascii="Arial" w:hAnsi="Arial" w:cs="Arial"/>
                <w:sz w:val="18"/>
                <w:szCs w:val="18"/>
              </w:rPr>
              <w:t>site of the provider; (12</w:t>
            </w:r>
            <w:r w:rsidR="003D07CA">
              <w:rPr>
                <w:rFonts w:ascii="Arial" w:hAnsi="Arial" w:cs="Arial"/>
                <w:sz w:val="18"/>
                <w:szCs w:val="18"/>
              </w:rPr>
              <w:t> </w:t>
            </w:r>
            <w:r w:rsidR="003D07CA" w:rsidRPr="007C7C6F">
              <w:rPr>
                <w:rFonts w:ascii="Arial" w:hAnsi="Arial" w:cs="Arial"/>
                <w:sz w:val="18"/>
                <w:szCs w:val="18"/>
              </w:rPr>
              <w:t>CFR</w:t>
            </w:r>
            <w:r w:rsidR="003D07CA">
              <w:rPr>
                <w:rFonts w:ascii="Arial" w:hAnsi="Arial" w:cs="Arial"/>
                <w:sz w:val="18"/>
                <w:szCs w:val="18"/>
              </w:rPr>
              <w:t> </w:t>
            </w:r>
            <w:r w:rsidR="003D07CA" w:rsidRPr="007C7C6F">
              <w:rPr>
                <w:rFonts w:ascii="Arial" w:hAnsi="Arial" w:cs="Arial"/>
                <w:sz w:val="18"/>
                <w:szCs w:val="18"/>
              </w:rPr>
              <w:t>1005.31(b)(2)(v))</w:t>
            </w:r>
          </w:p>
        </w:tc>
        <w:tc>
          <w:tcPr>
            <w:tcW w:w="660" w:type="dxa"/>
          </w:tcPr>
          <w:p w14:paraId="69981E9F" w14:textId="77777777" w:rsidR="003D07CA" w:rsidRPr="00637580" w:rsidRDefault="003D07CA" w:rsidP="003E1F68">
            <w:pPr>
              <w:spacing w:before="40" w:after="40"/>
              <w:jc w:val="center"/>
              <w:rPr>
                <w:rFonts w:ascii="Arial" w:hAnsi="Arial" w:cs="Arial"/>
                <w:sz w:val="18"/>
                <w:szCs w:val="18"/>
              </w:rPr>
            </w:pPr>
          </w:p>
        </w:tc>
        <w:tc>
          <w:tcPr>
            <w:tcW w:w="660" w:type="dxa"/>
          </w:tcPr>
          <w:p w14:paraId="69981EA0" w14:textId="77777777" w:rsidR="003D07CA" w:rsidRPr="00637580" w:rsidRDefault="003D07CA" w:rsidP="003E1F68">
            <w:pPr>
              <w:spacing w:before="40" w:after="40"/>
              <w:jc w:val="center"/>
              <w:rPr>
                <w:rFonts w:ascii="Arial" w:hAnsi="Arial" w:cs="Arial"/>
                <w:sz w:val="18"/>
                <w:szCs w:val="18"/>
              </w:rPr>
            </w:pPr>
          </w:p>
        </w:tc>
        <w:tc>
          <w:tcPr>
            <w:tcW w:w="660" w:type="dxa"/>
          </w:tcPr>
          <w:p w14:paraId="69981EA1" w14:textId="77777777" w:rsidR="003D07CA" w:rsidRPr="00637580" w:rsidRDefault="003D07CA" w:rsidP="003E1F68">
            <w:pPr>
              <w:spacing w:before="40" w:after="40"/>
              <w:jc w:val="center"/>
              <w:rPr>
                <w:rFonts w:ascii="Arial" w:hAnsi="Arial" w:cs="Arial"/>
                <w:sz w:val="18"/>
                <w:szCs w:val="18"/>
              </w:rPr>
            </w:pPr>
          </w:p>
        </w:tc>
      </w:tr>
      <w:tr w:rsidR="003D07CA" w:rsidRPr="00637580" w14:paraId="69981EA9" w14:textId="77777777" w:rsidTr="003E1F68">
        <w:tc>
          <w:tcPr>
            <w:tcW w:w="7020" w:type="dxa"/>
          </w:tcPr>
          <w:p w14:paraId="69981EA3" w14:textId="77777777" w:rsidR="003D07CA" w:rsidRPr="007C7C6F" w:rsidRDefault="00C63BAE" w:rsidP="00525B7F">
            <w:pPr>
              <w:pStyle w:val="ChecklistBullet1"/>
              <w:numPr>
                <w:ilvl w:val="0"/>
                <w:numId w:val="113"/>
              </w:numPr>
              <w:tabs>
                <w:tab w:val="clear" w:pos="3600"/>
                <w:tab w:val="left" w:pos="882"/>
              </w:tabs>
              <w:spacing w:before="40" w:after="40"/>
              <w:ind w:left="882"/>
              <w:rPr>
                <w:rFonts w:ascii="Arial" w:hAnsi="Arial" w:cs="Arial"/>
                <w:sz w:val="18"/>
                <w:szCs w:val="18"/>
              </w:rPr>
            </w:pPr>
            <w:r>
              <w:rPr>
                <w:rFonts w:ascii="Arial" w:hAnsi="Arial" w:cs="Arial"/>
                <w:sz w:val="18"/>
                <w:szCs w:val="18"/>
              </w:rPr>
              <w:t>A</w:t>
            </w:r>
            <w:r w:rsidR="003D07CA" w:rsidRPr="00637580">
              <w:rPr>
                <w:rFonts w:ascii="Arial" w:hAnsi="Arial" w:cs="Arial"/>
                <w:sz w:val="18"/>
                <w:szCs w:val="18"/>
              </w:rPr>
              <w:t xml:space="preserve"> statement t</w:t>
            </w:r>
            <w:r w:rsidR="00814A7F">
              <w:rPr>
                <w:rFonts w:ascii="Arial" w:hAnsi="Arial" w:cs="Arial"/>
                <w:sz w:val="18"/>
                <w:szCs w:val="18"/>
              </w:rPr>
              <w:t>hat the sender can contact the s</w:t>
            </w:r>
            <w:r w:rsidR="003D07CA" w:rsidRPr="00637580">
              <w:rPr>
                <w:rFonts w:ascii="Arial" w:hAnsi="Arial" w:cs="Arial"/>
                <w:sz w:val="18"/>
                <w:szCs w:val="18"/>
              </w:rPr>
              <w:t>tate agency that licenses or charters the remittance transfer provider with respect to the particular transfer (if applicable) and the C</w:t>
            </w:r>
            <w:r w:rsidR="00DF43F3">
              <w:rPr>
                <w:rFonts w:ascii="Arial" w:hAnsi="Arial" w:cs="Arial"/>
                <w:sz w:val="18"/>
                <w:szCs w:val="18"/>
              </w:rPr>
              <w:t>FPB</w:t>
            </w:r>
            <w:r w:rsidR="003D07CA" w:rsidRPr="00637580">
              <w:rPr>
                <w:rFonts w:ascii="Arial" w:hAnsi="Arial" w:cs="Arial"/>
                <w:sz w:val="18"/>
                <w:szCs w:val="18"/>
              </w:rPr>
              <w:t>, for questions or complaints about the remittance transfer provider using language set forth in Model Form A</w:t>
            </w:r>
            <w:r w:rsidR="00DF43F3">
              <w:rPr>
                <w:rFonts w:ascii="Arial" w:hAnsi="Arial" w:cs="Arial"/>
                <w:sz w:val="18"/>
                <w:szCs w:val="18"/>
              </w:rPr>
              <w:noBreakHyphen/>
            </w:r>
            <w:r w:rsidR="003D07CA" w:rsidRPr="00637580">
              <w:rPr>
                <w:rFonts w:ascii="Arial" w:hAnsi="Arial" w:cs="Arial"/>
                <w:sz w:val="18"/>
                <w:szCs w:val="18"/>
              </w:rPr>
              <w:t>37 of appendix A or substantially similar language; and (12</w:t>
            </w:r>
            <w:r w:rsidR="003D07CA">
              <w:rPr>
                <w:rFonts w:ascii="Arial" w:hAnsi="Arial" w:cs="Arial"/>
                <w:sz w:val="18"/>
                <w:szCs w:val="18"/>
              </w:rPr>
              <w:t> </w:t>
            </w:r>
            <w:r w:rsidR="003D07CA" w:rsidRPr="007C7C6F">
              <w:rPr>
                <w:rFonts w:ascii="Arial" w:hAnsi="Arial" w:cs="Arial"/>
                <w:sz w:val="18"/>
                <w:szCs w:val="18"/>
              </w:rPr>
              <w:t>CFR</w:t>
            </w:r>
            <w:r w:rsidR="003D07CA">
              <w:rPr>
                <w:rFonts w:ascii="Arial" w:hAnsi="Arial" w:cs="Arial"/>
                <w:sz w:val="18"/>
                <w:szCs w:val="18"/>
              </w:rPr>
              <w:t> </w:t>
            </w:r>
            <w:r w:rsidR="003D07CA" w:rsidRPr="007C7C6F">
              <w:rPr>
                <w:rFonts w:ascii="Arial" w:hAnsi="Arial" w:cs="Arial"/>
                <w:sz w:val="18"/>
                <w:szCs w:val="18"/>
              </w:rPr>
              <w:t>1005.31(b)(2)(vi))</w:t>
            </w:r>
          </w:p>
          <w:p w14:paraId="69981EA4" w14:textId="77777777" w:rsidR="003D07CA" w:rsidRPr="00637580" w:rsidRDefault="003D07CA" w:rsidP="006F0AF4">
            <w:pPr>
              <w:pStyle w:val="ChecklistBullet1"/>
              <w:numPr>
                <w:ilvl w:val="0"/>
                <w:numId w:val="0"/>
              </w:numPr>
              <w:tabs>
                <w:tab w:val="clear" w:pos="3600"/>
              </w:tabs>
              <w:spacing w:before="40" w:after="40"/>
              <w:ind w:left="522"/>
              <w:rPr>
                <w:rFonts w:ascii="Arial" w:hAnsi="Arial" w:cs="Arial"/>
                <w:sz w:val="18"/>
                <w:szCs w:val="18"/>
              </w:rPr>
            </w:pPr>
          </w:p>
          <w:p w14:paraId="69981EA5" w14:textId="77777777" w:rsidR="003D07CA" w:rsidRPr="00637580" w:rsidRDefault="003D07CA" w:rsidP="00C0379C">
            <w:pPr>
              <w:pStyle w:val="ChecklistBullet1"/>
              <w:numPr>
                <w:ilvl w:val="0"/>
                <w:numId w:val="0"/>
              </w:numPr>
              <w:tabs>
                <w:tab w:val="clear" w:pos="3600"/>
              </w:tabs>
              <w:spacing w:before="40" w:after="40"/>
              <w:ind w:left="522"/>
              <w:rPr>
                <w:rFonts w:ascii="Arial" w:hAnsi="Arial" w:cs="Arial"/>
                <w:b/>
                <w:bCs/>
                <w:color w:val="000000"/>
                <w:sz w:val="18"/>
                <w:szCs w:val="18"/>
              </w:rPr>
            </w:pPr>
            <w:r w:rsidRPr="00637580">
              <w:rPr>
                <w:rFonts w:ascii="Arial" w:hAnsi="Arial" w:cs="Arial"/>
                <w:b/>
                <w:sz w:val="18"/>
                <w:szCs w:val="18"/>
              </w:rPr>
              <w:t>Note:</w:t>
            </w:r>
            <w:r w:rsidRPr="00637580">
              <w:rPr>
                <w:rFonts w:ascii="Arial" w:hAnsi="Arial" w:cs="Arial"/>
                <w:sz w:val="18"/>
                <w:szCs w:val="18"/>
              </w:rPr>
              <w:t xml:space="preserve"> The statement must include the name, telephone number(s)</w:t>
            </w:r>
            <w:r w:rsidR="006F0AF4">
              <w:rPr>
                <w:rFonts w:ascii="Arial" w:hAnsi="Arial" w:cs="Arial"/>
                <w:sz w:val="18"/>
                <w:szCs w:val="18"/>
              </w:rPr>
              <w:t>,</w:t>
            </w:r>
            <w:r w:rsidRPr="00637580">
              <w:rPr>
                <w:rFonts w:ascii="Arial" w:hAnsi="Arial" w:cs="Arial"/>
                <w:sz w:val="18"/>
                <w:szCs w:val="18"/>
              </w:rPr>
              <w:t xml:space="preserve"> and </w:t>
            </w:r>
            <w:r w:rsidR="006F0AF4">
              <w:rPr>
                <w:rFonts w:ascii="Arial" w:hAnsi="Arial" w:cs="Arial"/>
                <w:sz w:val="18"/>
                <w:szCs w:val="18"/>
              </w:rPr>
              <w:t>W</w:t>
            </w:r>
            <w:r w:rsidRPr="00637580">
              <w:rPr>
                <w:rFonts w:ascii="Arial" w:hAnsi="Arial" w:cs="Arial"/>
                <w:sz w:val="18"/>
                <w:szCs w:val="18"/>
              </w:rPr>
              <w:t>eb</w:t>
            </w:r>
            <w:r w:rsidR="006F0AF4">
              <w:rPr>
                <w:rFonts w:ascii="Arial" w:hAnsi="Arial" w:cs="Arial"/>
                <w:sz w:val="18"/>
                <w:szCs w:val="18"/>
              </w:rPr>
              <w:t xml:space="preserve"> </w:t>
            </w:r>
            <w:r w:rsidR="00814A7F">
              <w:rPr>
                <w:rFonts w:ascii="Arial" w:hAnsi="Arial" w:cs="Arial"/>
                <w:sz w:val="18"/>
                <w:szCs w:val="18"/>
              </w:rPr>
              <w:t>site of the s</w:t>
            </w:r>
            <w:r w:rsidRPr="00637580">
              <w:rPr>
                <w:rFonts w:ascii="Arial" w:hAnsi="Arial" w:cs="Arial"/>
                <w:sz w:val="18"/>
                <w:szCs w:val="18"/>
              </w:rPr>
              <w:t>tate agency and the name, toll-free telephone number(s)</w:t>
            </w:r>
            <w:r w:rsidR="006F0AF4">
              <w:rPr>
                <w:rFonts w:ascii="Arial" w:hAnsi="Arial" w:cs="Arial"/>
                <w:sz w:val="18"/>
                <w:szCs w:val="18"/>
              </w:rPr>
              <w:t>,</w:t>
            </w:r>
            <w:r w:rsidRPr="00637580">
              <w:rPr>
                <w:rFonts w:ascii="Arial" w:hAnsi="Arial" w:cs="Arial"/>
                <w:sz w:val="18"/>
                <w:szCs w:val="18"/>
              </w:rPr>
              <w:t xml:space="preserve"> and </w:t>
            </w:r>
            <w:r w:rsidR="006F0AF4">
              <w:rPr>
                <w:rFonts w:ascii="Arial" w:hAnsi="Arial" w:cs="Arial"/>
                <w:sz w:val="18"/>
                <w:szCs w:val="18"/>
              </w:rPr>
              <w:t>W</w:t>
            </w:r>
            <w:r w:rsidRPr="00637580">
              <w:rPr>
                <w:rFonts w:ascii="Arial" w:hAnsi="Arial" w:cs="Arial"/>
                <w:sz w:val="18"/>
                <w:szCs w:val="18"/>
              </w:rPr>
              <w:t>eb</w:t>
            </w:r>
            <w:r w:rsidR="006F0AF4">
              <w:rPr>
                <w:rFonts w:ascii="Arial" w:hAnsi="Arial" w:cs="Arial"/>
                <w:sz w:val="18"/>
                <w:szCs w:val="18"/>
              </w:rPr>
              <w:t xml:space="preserve"> </w:t>
            </w:r>
            <w:r w:rsidRPr="00637580">
              <w:rPr>
                <w:rFonts w:ascii="Arial" w:hAnsi="Arial" w:cs="Arial"/>
                <w:sz w:val="18"/>
                <w:szCs w:val="18"/>
              </w:rPr>
              <w:t>site of the CFPB.</w:t>
            </w:r>
          </w:p>
        </w:tc>
        <w:tc>
          <w:tcPr>
            <w:tcW w:w="660" w:type="dxa"/>
          </w:tcPr>
          <w:p w14:paraId="69981EA6" w14:textId="77777777" w:rsidR="003D07CA" w:rsidRPr="00637580" w:rsidRDefault="003D07CA" w:rsidP="003E1F68">
            <w:pPr>
              <w:spacing w:before="40" w:after="40"/>
              <w:jc w:val="center"/>
              <w:rPr>
                <w:rFonts w:ascii="Arial" w:hAnsi="Arial" w:cs="Arial"/>
                <w:sz w:val="18"/>
                <w:szCs w:val="18"/>
              </w:rPr>
            </w:pPr>
          </w:p>
        </w:tc>
        <w:tc>
          <w:tcPr>
            <w:tcW w:w="660" w:type="dxa"/>
          </w:tcPr>
          <w:p w14:paraId="69981EA7" w14:textId="77777777" w:rsidR="003D07CA" w:rsidRPr="00637580" w:rsidRDefault="003D07CA" w:rsidP="003E1F68">
            <w:pPr>
              <w:spacing w:before="40" w:after="40"/>
              <w:jc w:val="center"/>
              <w:rPr>
                <w:rFonts w:ascii="Arial" w:hAnsi="Arial" w:cs="Arial"/>
                <w:sz w:val="18"/>
                <w:szCs w:val="18"/>
              </w:rPr>
            </w:pPr>
          </w:p>
        </w:tc>
        <w:tc>
          <w:tcPr>
            <w:tcW w:w="660" w:type="dxa"/>
          </w:tcPr>
          <w:p w14:paraId="69981EA8" w14:textId="77777777" w:rsidR="003D07CA" w:rsidRPr="00637580" w:rsidRDefault="003D07CA" w:rsidP="003E1F68">
            <w:pPr>
              <w:spacing w:before="40" w:after="40"/>
              <w:jc w:val="center"/>
              <w:rPr>
                <w:rFonts w:ascii="Arial" w:hAnsi="Arial" w:cs="Arial"/>
                <w:sz w:val="18"/>
                <w:szCs w:val="18"/>
              </w:rPr>
            </w:pPr>
          </w:p>
        </w:tc>
      </w:tr>
      <w:tr w:rsidR="003D07CA" w:rsidRPr="00637580" w14:paraId="69981EAE" w14:textId="77777777" w:rsidTr="003E1F68">
        <w:tc>
          <w:tcPr>
            <w:tcW w:w="7020" w:type="dxa"/>
            <w:tcBorders>
              <w:bottom w:val="single" w:sz="4" w:space="0" w:color="auto"/>
            </w:tcBorders>
          </w:tcPr>
          <w:p w14:paraId="69981EAA" w14:textId="77777777" w:rsidR="003D07CA" w:rsidRPr="00637580" w:rsidRDefault="00C63BAE" w:rsidP="00525B7F">
            <w:pPr>
              <w:pStyle w:val="ChecklistBullet1"/>
              <w:numPr>
                <w:ilvl w:val="0"/>
                <w:numId w:val="113"/>
              </w:numPr>
              <w:tabs>
                <w:tab w:val="clear" w:pos="3600"/>
                <w:tab w:val="left" w:pos="882"/>
              </w:tabs>
              <w:spacing w:before="40" w:after="40"/>
              <w:ind w:left="882"/>
              <w:rPr>
                <w:rFonts w:ascii="Arial" w:hAnsi="Arial" w:cs="Arial"/>
                <w:sz w:val="18"/>
                <w:szCs w:val="18"/>
              </w:rPr>
            </w:pPr>
            <w:r>
              <w:rPr>
                <w:rFonts w:ascii="Arial" w:hAnsi="Arial" w:cs="Arial"/>
                <w:sz w:val="18"/>
                <w:szCs w:val="18"/>
              </w:rPr>
              <w:t>T</w:t>
            </w:r>
            <w:r w:rsidR="003D07CA" w:rsidRPr="00637580">
              <w:rPr>
                <w:rFonts w:ascii="Arial" w:hAnsi="Arial" w:cs="Arial"/>
                <w:sz w:val="18"/>
                <w:szCs w:val="18"/>
              </w:rPr>
              <w:t>he transfer date (only for transfers scheduled at least three business days in advance, or the first transfer in a series of preauthorized remittance transfers)? (12 CFR 1005.31(b)(2)(vii))</w:t>
            </w:r>
          </w:p>
        </w:tc>
        <w:tc>
          <w:tcPr>
            <w:tcW w:w="660" w:type="dxa"/>
            <w:tcBorders>
              <w:bottom w:val="single" w:sz="4" w:space="0" w:color="auto"/>
            </w:tcBorders>
          </w:tcPr>
          <w:p w14:paraId="69981EAB"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EAC"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tcPr>
          <w:p w14:paraId="69981EAD" w14:textId="77777777" w:rsidR="003D07CA" w:rsidRPr="00637580" w:rsidRDefault="003D07CA" w:rsidP="003E1F68">
            <w:pPr>
              <w:spacing w:before="40" w:after="40"/>
              <w:jc w:val="center"/>
              <w:rPr>
                <w:rFonts w:ascii="Arial" w:hAnsi="Arial" w:cs="Arial"/>
                <w:sz w:val="18"/>
                <w:szCs w:val="18"/>
              </w:rPr>
            </w:pPr>
          </w:p>
        </w:tc>
      </w:tr>
    </w:tbl>
    <w:p w14:paraId="69981EAF" w14:textId="77777777" w:rsidR="003D07CA" w:rsidRPr="00637580" w:rsidRDefault="003D07CA" w:rsidP="003D07CA">
      <w:pPr>
        <w:rPr>
          <w:rFonts w:ascii="Arial" w:hAnsi="Arial" w:cs="Arial"/>
          <w:sz w:val="18"/>
          <w:szCs w:val="18"/>
        </w:rPr>
      </w:pPr>
      <w:r w:rsidRPr="00637580">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EB4" w14:textId="77777777" w:rsidTr="003E1F68">
        <w:tc>
          <w:tcPr>
            <w:tcW w:w="7020" w:type="dxa"/>
            <w:shd w:val="clear" w:color="auto" w:fill="auto"/>
          </w:tcPr>
          <w:p w14:paraId="69981EB0"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tcBorders>
              <w:bottom w:val="single" w:sz="4" w:space="0" w:color="auto"/>
            </w:tcBorders>
            <w:shd w:val="clear" w:color="auto" w:fill="auto"/>
          </w:tcPr>
          <w:p w14:paraId="69981EB1"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Yes</w:t>
            </w:r>
          </w:p>
        </w:tc>
        <w:tc>
          <w:tcPr>
            <w:tcW w:w="660" w:type="dxa"/>
            <w:tcBorders>
              <w:bottom w:val="single" w:sz="4" w:space="0" w:color="auto"/>
            </w:tcBorders>
            <w:shd w:val="clear" w:color="auto" w:fill="auto"/>
          </w:tcPr>
          <w:p w14:paraId="69981EB2"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60" w:type="dxa"/>
            <w:tcBorders>
              <w:bottom w:val="single" w:sz="4" w:space="0" w:color="auto"/>
            </w:tcBorders>
            <w:shd w:val="clear" w:color="auto" w:fill="auto"/>
          </w:tcPr>
          <w:p w14:paraId="69981EB3"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EB9" w14:textId="77777777" w:rsidTr="003E1F68">
        <w:tc>
          <w:tcPr>
            <w:tcW w:w="7020" w:type="dxa"/>
            <w:shd w:val="clear" w:color="auto" w:fill="D9D9D9" w:themeFill="background1" w:themeFillShade="D9"/>
          </w:tcPr>
          <w:p w14:paraId="69981EB5" w14:textId="77777777" w:rsidR="003D07CA" w:rsidRPr="00637580" w:rsidRDefault="003D07CA" w:rsidP="007227CC">
            <w:pPr>
              <w:spacing w:before="40" w:after="40"/>
              <w:rPr>
                <w:rFonts w:ascii="Arial" w:hAnsi="Arial" w:cs="Arial"/>
                <w:sz w:val="18"/>
                <w:szCs w:val="18"/>
              </w:rPr>
            </w:pPr>
            <w:r w:rsidRPr="00637580">
              <w:rPr>
                <w:rFonts w:ascii="Arial" w:hAnsi="Arial" w:cs="Arial"/>
                <w:b/>
                <w:sz w:val="18"/>
                <w:szCs w:val="18"/>
              </w:rPr>
              <w:t>12 CFR 1005.31(b)(3) – Combined Disclosure</w:t>
            </w:r>
          </w:p>
        </w:tc>
        <w:tc>
          <w:tcPr>
            <w:tcW w:w="660" w:type="dxa"/>
            <w:tcBorders>
              <w:bottom w:val="single" w:sz="4" w:space="0" w:color="auto"/>
            </w:tcBorders>
            <w:shd w:val="clear" w:color="auto" w:fill="D9D9D9" w:themeFill="background1" w:themeFillShade="D9"/>
          </w:tcPr>
          <w:p w14:paraId="69981EB6"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D9D9D9" w:themeFill="background1" w:themeFillShade="D9"/>
          </w:tcPr>
          <w:p w14:paraId="69981EB7"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D9D9D9" w:themeFill="background1" w:themeFillShade="D9"/>
          </w:tcPr>
          <w:p w14:paraId="69981EB8" w14:textId="77777777" w:rsidR="003D07CA" w:rsidRPr="00637580" w:rsidRDefault="003D07CA" w:rsidP="003E1F68">
            <w:pPr>
              <w:spacing w:before="40" w:after="40"/>
              <w:jc w:val="center"/>
              <w:rPr>
                <w:rFonts w:ascii="Arial" w:hAnsi="Arial" w:cs="Arial"/>
                <w:sz w:val="18"/>
                <w:szCs w:val="18"/>
              </w:rPr>
            </w:pPr>
          </w:p>
        </w:tc>
      </w:tr>
      <w:tr w:rsidR="003D07CA" w:rsidRPr="00637580" w14:paraId="69981EBE" w14:textId="77777777" w:rsidTr="003E1F68">
        <w:tc>
          <w:tcPr>
            <w:tcW w:w="7020" w:type="dxa"/>
          </w:tcPr>
          <w:p w14:paraId="69981EBA" w14:textId="77777777" w:rsidR="003D07CA" w:rsidRPr="00637580" w:rsidRDefault="003D07CA" w:rsidP="003E1F68">
            <w:pPr>
              <w:spacing w:before="40" w:after="40"/>
              <w:ind w:left="522"/>
              <w:rPr>
                <w:rFonts w:ascii="Arial" w:hAnsi="Arial" w:cs="Arial"/>
                <w:b/>
                <w:sz w:val="18"/>
                <w:szCs w:val="18"/>
              </w:rPr>
            </w:pPr>
            <w:r w:rsidRPr="00637580">
              <w:rPr>
                <w:rFonts w:ascii="Arial" w:hAnsi="Arial" w:cs="Arial"/>
                <w:sz w:val="18"/>
                <w:szCs w:val="18"/>
              </w:rPr>
              <w:t>Complete this section if the provider provides combined disclosures as an alternative to prepayment disclosures and receipts.</w:t>
            </w:r>
          </w:p>
        </w:tc>
        <w:tc>
          <w:tcPr>
            <w:tcW w:w="660" w:type="dxa"/>
            <w:shd w:val="clear" w:color="auto" w:fill="D9D9D9" w:themeFill="background1" w:themeFillShade="D9"/>
          </w:tcPr>
          <w:p w14:paraId="69981EBB"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BC"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BD" w14:textId="77777777" w:rsidR="003D07CA" w:rsidRPr="00637580" w:rsidRDefault="003D07CA" w:rsidP="003E1F68">
            <w:pPr>
              <w:spacing w:before="40" w:after="40"/>
              <w:jc w:val="center"/>
              <w:rPr>
                <w:rFonts w:ascii="Arial" w:hAnsi="Arial" w:cs="Arial"/>
                <w:sz w:val="18"/>
                <w:szCs w:val="18"/>
              </w:rPr>
            </w:pPr>
          </w:p>
        </w:tc>
      </w:tr>
      <w:tr w:rsidR="003D07CA" w:rsidRPr="00637580" w14:paraId="69981EC3" w14:textId="77777777" w:rsidTr="003E1F68">
        <w:tc>
          <w:tcPr>
            <w:tcW w:w="7020" w:type="dxa"/>
          </w:tcPr>
          <w:p w14:paraId="69981EBF" w14:textId="77777777" w:rsidR="003D07CA" w:rsidRPr="00637580" w:rsidRDefault="003D07CA" w:rsidP="00525B7F">
            <w:pPr>
              <w:numPr>
                <w:ilvl w:val="0"/>
                <w:numId w:val="101"/>
              </w:numPr>
              <w:spacing w:before="40" w:after="40"/>
              <w:ind w:left="522" w:hanging="522"/>
              <w:rPr>
                <w:rFonts w:ascii="Arial" w:hAnsi="Arial" w:cs="Arial"/>
                <w:sz w:val="18"/>
                <w:szCs w:val="18"/>
              </w:rPr>
            </w:pPr>
            <w:r w:rsidRPr="00637580">
              <w:rPr>
                <w:rFonts w:ascii="Arial" w:hAnsi="Arial" w:cs="Arial"/>
                <w:sz w:val="18"/>
                <w:szCs w:val="18"/>
              </w:rPr>
              <w:t>Does the combined disclosure contain all the information required to be provided on the prepayment disclosure and receipt?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1005.31(b)(3)(i)</w:t>
            </w:r>
            <w:r w:rsidRPr="00637580">
              <w:rPr>
                <w:rFonts w:ascii="Arial" w:hAnsi="Arial" w:cs="Arial"/>
                <w:sz w:val="18"/>
                <w:szCs w:val="18"/>
              </w:rPr>
              <w:t>)</w:t>
            </w:r>
          </w:p>
        </w:tc>
        <w:tc>
          <w:tcPr>
            <w:tcW w:w="660" w:type="dxa"/>
            <w:shd w:val="clear" w:color="auto" w:fill="auto"/>
          </w:tcPr>
          <w:p w14:paraId="69981EC0"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EC1"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EC2" w14:textId="77777777" w:rsidR="003D07CA" w:rsidRPr="00637580" w:rsidRDefault="003D07CA" w:rsidP="003E1F68">
            <w:pPr>
              <w:spacing w:before="40" w:after="40"/>
              <w:jc w:val="center"/>
              <w:rPr>
                <w:rFonts w:ascii="Arial" w:hAnsi="Arial" w:cs="Arial"/>
                <w:sz w:val="18"/>
                <w:szCs w:val="18"/>
              </w:rPr>
            </w:pPr>
          </w:p>
        </w:tc>
      </w:tr>
      <w:tr w:rsidR="003D07CA" w:rsidRPr="00637580" w14:paraId="69981ECC" w14:textId="77777777" w:rsidTr="003E1F68">
        <w:tc>
          <w:tcPr>
            <w:tcW w:w="7020" w:type="dxa"/>
            <w:tcBorders>
              <w:bottom w:val="single" w:sz="4" w:space="0" w:color="auto"/>
            </w:tcBorders>
          </w:tcPr>
          <w:p w14:paraId="69981EC4" w14:textId="77777777" w:rsidR="003D07CA" w:rsidRPr="00637580" w:rsidRDefault="003D07CA" w:rsidP="00525B7F">
            <w:pPr>
              <w:numPr>
                <w:ilvl w:val="0"/>
                <w:numId w:val="101"/>
              </w:numPr>
              <w:spacing w:before="40" w:after="40"/>
              <w:ind w:left="522" w:hanging="540"/>
              <w:rPr>
                <w:rFonts w:ascii="Arial" w:hAnsi="Arial" w:cs="Arial"/>
                <w:sz w:val="18"/>
                <w:szCs w:val="18"/>
              </w:rPr>
            </w:pPr>
            <w:r w:rsidRPr="00637580">
              <w:rPr>
                <w:rFonts w:ascii="Arial" w:hAnsi="Arial" w:cs="Arial"/>
                <w:sz w:val="18"/>
                <w:szCs w:val="18"/>
              </w:rPr>
              <w:t>Does the provider provide the combined disclosure when the sender requests the remittance transfer, but prior to payment for the transfer; and provide a proof of payment when payment is made for the transfer? (12</w:t>
            </w:r>
            <w:r>
              <w:rPr>
                <w:rFonts w:ascii="Arial" w:hAnsi="Arial" w:cs="Arial"/>
                <w:sz w:val="18"/>
                <w:szCs w:val="18"/>
              </w:rPr>
              <w:t> </w:t>
            </w:r>
            <w:r w:rsidRPr="007C7C6F">
              <w:rPr>
                <w:rFonts w:ascii="Arial" w:hAnsi="Arial" w:cs="Arial"/>
                <w:sz w:val="18"/>
                <w:szCs w:val="18"/>
              </w:rPr>
              <w:t>CFR</w:t>
            </w:r>
            <w:r w:rsidR="00292F43">
              <w:rPr>
                <w:rFonts w:ascii="Arial" w:hAnsi="Arial" w:cs="Arial"/>
                <w:sz w:val="18"/>
                <w:szCs w:val="18"/>
              </w:rPr>
              <w:t> </w:t>
            </w:r>
            <w:r w:rsidRPr="007C7C6F">
              <w:rPr>
                <w:rFonts w:ascii="Arial" w:hAnsi="Arial" w:cs="Arial"/>
                <w:sz w:val="18"/>
                <w:szCs w:val="18"/>
              </w:rPr>
              <w:t>1005.31(b)(3)</w:t>
            </w:r>
            <w:r w:rsidR="00657925">
              <w:rPr>
                <w:rFonts w:ascii="Arial" w:hAnsi="Arial" w:cs="Arial"/>
                <w:sz w:val="18"/>
                <w:szCs w:val="18"/>
              </w:rPr>
              <w:t xml:space="preserve">(i) and </w:t>
            </w:r>
            <w:r w:rsidRPr="007C7C6F">
              <w:rPr>
                <w:rFonts w:ascii="Arial" w:hAnsi="Arial" w:cs="Arial"/>
                <w:sz w:val="18"/>
                <w:szCs w:val="18"/>
              </w:rPr>
              <w:t>(ii))</w:t>
            </w:r>
          </w:p>
          <w:p w14:paraId="69981EC5" w14:textId="77777777" w:rsidR="003D07CA" w:rsidRPr="00637580" w:rsidRDefault="003D07CA" w:rsidP="003E1F68">
            <w:pPr>
              <w:spacing w:before="40" w:after="40"/>
              <w:ind w:left="522" w:hanging="522"/>
              <w:rPr>
                <w:rFonts w:ascii="Arial" w:hAnsi="Arial" w:cs="Arial"/>
                <w:sz w:val="18"/>
                <w:szCs w:val="18"/>
              </w:rPr>
            </w:pPr>
          </w:p>
          <w:p w14:paraId="69981EC6" w14:textId="77777777" w:rsidR="003D07CA" w:rsidRPr="00637580" w:rsidRDefault="003D07CA" w:rsidP="003E1F68">
            <w:pPr>
              <w:spacing w:before="40" w:after="40"/>
              <w:ind w:left="522"/>
              <w:rPr>
                <w:rFonts w:ascii="Arial" w:hAnsi="Arial" w:cs="Arial"/>
                <w:b/>
                <w:sz w:val="18"/>
                <w:szCs w:val="18"/>
              </w:rPr>
            </w:pPr>
            <w:r w:rsidRPr="00637580">
              <w:rPr>
                <w:rFonts w:ascii="Arial" w:hAnsi="Arial" w:cs="Arial"/>
                <w:b/>
                <w:sz w:val="18"/>
                <w:szCs w:val="18"/>
              </w:rPr>
              <w:t xml:space="preserve">Note: </w:t>
            </w:r>
          </w:p>
          <w:p w14:paraId="69981EC7" w14:textId="77777777" w:rsidR="003D07CA" w:rsidRPr="00767D9F" w:rsidRDefault="003D07CA" w:rsidP="00525B7F">
            <w:pPr>
              <w:numPr>
                <w:ilvl w:val="6"/>
                <w:numId w:val="98"/>
              </w:numPr>
              <w:tabs>
                <w:tab w:val="clear" w:pos="2520"/>
                <w:tab w:val="num" w:pos="882"/>
              </w:tabs>
              <w:spacing w:before="40" w:after="40"/>
              <w:ind w:left="882"/>
              <w:rPr>
                <w:rFonts w:ascii="Arial" w:hAnsi="Arial" w:cs="Arial"/>
                <w:sz w:val="18"/>
                <w:szCs w:val="18"/>
                <w:shd w:val="clear" w:color="auto" w:fill="FFFFFF"/>
              </w:rPr>
            </w:pPr>
            <w:r w:rsidRPr="00637580">
              <w:rPr>
                <w:rFonts w:ascii="Arial" w:hAnsi="Arial" w:cs="Arial"/>
                <w:sz w:val="18"/>
                <w:szCs w:val="18"/>
              </w:rPr>
              <w:t xml:space="preserve">The proof of payment must be </w:t>
            </w:r>
            <w:r w:rsidRPr="00767D9F">
              <w:rPr>
                <w:rFonts w:ascii="Arial" w:hAnsi="Arial" w:cs="Arial"/>
                <w:sz w:val="18"/>
                <w:szCs w:val="18"/>
                <w:shd w:val="clear" w:color="auto" w:fill="FFFFFF"/>
              </w:rPr>
              <w:t>clear and conspicuous, provided in writing or electronically, and provided in a retainable form.</w:t>
            </w:r>
          </w:p>
          <w:p w14:paraId="69981EC8" w14:textId="77777777" w:rsidR="003D07CA" w:rsidRPr="00637580" w:rsidRDefault="003D07CA" w:rsidP="00525B7F">
            <w:pPr>
              <w:numPr>
                <w:ilvl w:val="6"/>
                <w:numId w:val="98"/>
              </w:numPr>
              <w:tabs>
                <w:tab w:val="clear" w:pos="2520"/>
                <w:tab w:val="num" w:pos="882"/>
              </w:tabs>
              <w:spacing w:before="40" w:after="40"/>
              <w:ind w:left="882"/>
              <w:rPr>
                <w:rFonts w:ascii="Arial" w:hAnsi="Arial" w:cs="Arial"/>
                <w:sz w:val="18"/>
                <w:szCs w:val="18"/>
                <w:shd w:val="clear" w:color="auto" w:fill="FFFFFF"/>
              </w:rPr>
            </w:pPr>
            <w:r w:rsidRPr="00637580">
              <w:rPr>
                <w:rFonts w:ascii="Arial" w:hAnsi="Arial" w:cs="Arial"/>
                <w:sz w:val="18"/>
                <w:szCs w:val="18"/>
              </w:rPr>
              <w:t xml:space="preserve">For one-time transfers scheduled five or more business days in advance or for the first in a series of preauthorized transfers, the provider may provide confirmation that the transaction has been scheduled in lieu of the proof of payment if payment is not processed at the time the remittance transfer is scheduled. </w:t>
            </w:r>
            <w:r w:rsidRPr="00637580">
              <w:rPr>
                <w:rFonts w:ascii="Arial" w:eastAsia="Calibri" w:hAnsi="Arial" w:cs="Arial"/>
                <w:sz w:val="18"/>
                <w:szCs w:val="18"/>
              </w:rPr>
              <w:t>No further proof of payment is required when payment is later processed.</w:t>
            </w:r>
          </w:p>
        </w:tc>
        <w:tc>
          <w:tcPr>
            <w:tcW w:w="660" w:type="dxa"/>
            <w:tcBorders>
              <w:bottom w:val="single" w:sz="4" w:space="0" w:color="auto"/>
            </w:tcBorders>
            <w:shd w:val="clear" w:color="auto" w:fill="auto"/>
          </w:tcPr>
          <w:p w14:paraId="69981EC9"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ECA"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ECB" w14:textId="77777777" w:rsidR="003D07CA" w:rsidRPr="00637580" w:rsidRDefault="003D07CA" w:rsidP="003E1F68">
            <w:pPr>
              <w:spacing w:before="40" w:after="40"/>
              <w:jc w:val="center"/>
              <w:rPr>
                <w:rFonts w:ascii="Arial" w:hAnsi="Arial" w:cs="Arial"/>
                <w:sz w:val="18"/>
                <w:szCs w:val="18"/>
              </w:rPr>
            </w:pPr>
          </w:p>
        </w:tc>
      </w:tr>
      <w:tr w:rsidR="003D07CA" w:rsidRPr="00637580" w14:paraId="69981ED1" w14:textId="77777777" w:rsidTr="003E1F68">
        <w:tc>
          <w:tcPr>
            <w:tcW w:w="7020" w:type="dxa"/>
            <w:shd w:val="clear" w:color="auto" w:fill="D9D9D9" w:themeFill="background1" w:themeFillShade="D9"/>
          </w:tcPr>
          <w:p w14:paraId="69981ECD" w14:textId="77777777" w:rsidR="003D07CA" w:rsidRPr="00637580" w:rsidRDefault="003D07CA" w:rsidP="007227CC">
            <w:pPr>
              <w:spacing w:before="40" w:after="40"/>
              <w:rPr>
                <w:rFonts w:ascii="Arial" w:hAnsi="Arial" w:cs="Arial"/>
                <w:sz w:val="18"/>
                <w:szCs w:val="18"/>
              </w:rPr>
            </w:pPr>
            <w:r w:rsidRPr="00637580">
              <w:rPr>
                <w:rFonts w:ascii="Arial" w:hAnsi="Arial" w:cs="Arial"/>
                <w:b/>
                <w:sz w:val="18"/>
                <w:szCs w:val="18"/>
              </w:rPr>
              <w:t>12 CFR 1005.31(b)(4) – Long Form Error Resolution and Cancellation Notice</w:t>
            </w:r>
          </w:p>
        </w:tc>
        <w:tc>
          <w:tcPr>
            <w:tcW w:w="660" w:type="dxa"/>
            <w:shd w:val="clear" w:color="auto" w:fill="D9D9D9" w:themeFill="background1" w:themeFillShade="D9"/>
          </w:tcPr>
          <w:p w14:paraId="69981ECE"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CF"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D0" w14:textId="77777777" w:rsidR="003D07CA" w:rsidRPr="00637580" w:rsidRDefault="003D07CA" w:rsidP="003E1F68">
            <w:pPr>
              <w:spacing w:before="40" w:after="40"/>
              <w:jc w:val="center"/>
              <w:rPr>
                <w:rFonts w:ascii="Arial" w:hAnsi="Arial" w:cs="Arial"/>
                <w:sz w:val="18"/>
                <w:szCs w:val="18"/>
              </w:rPr>
            </w:pPr>
          </w:p>
        </w:tc>
      </w:tr>
      <w:tr w:rsidR="003D07CA" w:rsidRPr="00637580" w14:paraId="69981ED8" w14:textId="77777777" w:rsidTr="003E1F68">
        <w:tc>
          <w:tcPr>
            <w:tcW w:w="7020" w:type="dxa"/>
            <w:tcBorders>
              <w:bottom w:val="single" w:sz="4" w:space="0" w:color="auto"/>
            </w:tcBorders>
          </w:tcPr>
          <w:p w14:paraId="69981ED2" w14:textId="77777777" w:rsidR="003D07CA" w:rsidRPr="00637580" w:rsidRDefault="003D07CA"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 xml:space="preserve">Does the provider promptly provide, at the sender’s request, a notice describing the sender’s error resolution and cancellation rights, using language set forth in Model Form A-36 of </w:t>
            </w:r>
            <w:r w:rsidR="00292F43">
              <w:rPr>
                <w:rFonts w:ascii="Arial" w:hAnsi="Arial" w:cs="Arial"/>
                <w:sz w:val="18"/>
                <w:szCs w:val="18"/>
              </w:rPr>
              <w:t>a</w:t>
            </w:r>
            <w:r w:rsidRPr="00637580">
              <w:rPr>
                <w:rFonts w:ascii="Arial" w:hAnsi="Arial" w:cs="Arial"/>
                <w:sz w:val="18"/>
                <w:szCs w:val="18"/>
              </w:rPr>
              <w:t xml:space="preserve">ppendix A or substantially similar language? (12 CFR 1005.31(b)(4)) </w:t>
            </w:r>
          </w:p>
          <w:p w14:paraId="69981ED3" w14:textId="77777777" w:rsidR="003D07CA" w:rsidRPr="00637580" w:rsidRDefault="003D07CA" w:rsidP="003E1F68">
            <w:pPr>
              <w:spacing w:before="40" w:after="40"/>
              <w:ind w:left="522"/>
              <w:rPr>
                <w:rFonts w:ascii="Arial" w:hAnsi="Arial" w:cs="Arial"/>
                <w:sz w:val="18"/>
                <w:szCs w:val="18"/>
              </w:rPr>
            </w:pPr>
          </w:p>
          <w:p w14:paraId="69981ED4" w14:textId="77777777" w:rsidR="003D07CA" w:rsidRPr="007C7C6F" w:rsidRDefault="003D07CA" w:rsidP="003E1F68">
            <w:pPr>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For a remittance transfer scheduled at least three business days before the date of the transfer, the description of the rights of the sender regarding cancellation must instead reflect the requirements of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1005.36(c).</w:t>
            </w:r>
          </w:p>
        </w:tc>
        <w:tc>
          <w:tcPr>
            <w:tcW w:w="660" w:type="dxa"/>
            <w:tcBorders>
              <w:bottom w:val="single" w:sz="4" w:space="0" w:color="auto"/>
            </w:tcBorders>
            <w:shd w:val="clear" w:color="auto" w:fill="auto"/>
          </w:tcPr>
          <w:p w14:paraId="69981ED5"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ED6"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ED7" w14:textId="77777777" w:rsidR="003D07CA" w:rsidRPr="00637580" w:rsidRDefault="003D07CA" w:rsidP="003E1F68">
            <w:pPr>
              <w:spacing w:before="40" w:after="40"/>
              <w:jc w:val="center"/>
              <w:rPr>
                <w:rFonts w:ascii="Arial" w:hAnsi="Arial" w:cs="Arial"/>
                <w:sz w:val="18"/>
                <w:szCs w:val="18"/>
              </w:rPr>
            </w:pPr>
          </w:p>
        </w:tc>
      </w:tr>
      <w:tr w:rsidR="003D07CA" w:rsidRPr="00D7079A" w14:paraId="69981EDD" w14:textId="77777777" w:rsidTr="003E1F68">
        <w:trPr>
          <w:trHeight w:val="179"/>
        </w:trPr>
        <w:tc>
          <w:tcPr>
            <w:tcW w:w="7020" w:type="dxa"/>
            <w:shd w:val="clear" w:color="auto" w:fill="D9D9D9" w:themeFill="background1" w:themeFillShade="D9"/>
          </w:tcPr>
          <w:p w14:paraId="69981ED9" w14:textId="77777777" w:rsidR="003D07CA" w:rsidRPr="00637580" w:rsidRDefault="003D07CA" w:rsidP="003E1F68">
            <w:pPr>
              <w:spacing w:before="40" w:after="40"/>
              <w:rPr>
                <w:rFonts w:ascii="Arial" w:hAnsi="Arial" w:cs="Arial"/>
                <w:b/>
                <w:sz w:val="18"/>
                <w:szCs w:val="18"/>
              </w:rPr>
            </w:pPr>
            <w:r w:rsidRPr="00637580">
              <w:rPr>
                <w:rFonts w:ascii="Arial" w:hAnsi="Arial" w:cs="Arial"/>
                <w:b/>
                <w:sz w:val="18"/>
                <w:szCs w:val="18"/>
              </w:rPr>
              <w:t>12 CFR 1005.32 – Estimates</w:t>
            </w:r>
          </w:p>
        </w:tc>
        <w:tc>
          <w:tcPr>
            <w:tcW w:w="660" w:type="dxa"/>
            <w:shd w:val="clear" w:color="auto" w:fill="D9D9D9" w:themeFill="background1" w:themeFillShade="D9"/>
          </w:tcPr>
          <w:p w14:paraId="69981EDA"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DB"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DC" w14:textId="77777777" w:rsidR="003D07CA" w:rsidRPr="00637580" w:rsidRDefault="003D07CA" w:rsidP="003E1F68">
            <w:pPr>
              <w:spacing w:before="40" w:after="40"/>
              <w:jc w:val="center"/>
              <w:rPr>
                <w:rFonts w:ascii="Arial" w:hAnsi="Arial" w:cs="Arial"/>
                <w:sz w:val="18"/>
                <w:szCs w:val="18"/>
              </w:rPr>
            </w:pPr>
          </w:p>
        </w:tc>
      </w:tr>
      <w:tr w:rsidR="003D07CA" w:rsidRPr="00637580" w14:paraId="69981EE2" w14:textId="77777777" w:rsidTr="003E1F68">
        <w:tc>
          <w:tcPr>
            <w:tcW w:w="7020" w:type="dxa"/>
            <w:shd w:val="clear" w:color="auto" w:fill="D9D9D9" w:themeFill="background1" w:themeFillShade="D9"/>
          </w:tcPr>
          <w:p w14:paraId="69981EDE" w14:textId="77777777" w:rsidR="003D07CA" w:rsidRPr="00637580" w:rsidRDefault="003D07CA" w:rsidP="007227CC">
            <w:pPr>
              <w:spacing w:before="40" w:after="40"/>
              <w:rPr>
                <w:rFonts w:ascii="Arial" w:hAnsi="Arial" w:cs="Arial"/>
                <w:sz w:val="18"/>
                <w:szCs w:val="18"/>
              </w:rPr>
            </w:pPr>
            <w:r w:rsidRPr="00637580">
              <w:rPr>
                <w:rFonts w:ascii="Arial" w:hAnsi="Arial" w:cs="Arial"/>
                <w:b/>
                <w:sz w:val="18"/>
                <w:szCs w:val="18"/>
              </w:rPr>
              <w:t>12 CFR 1005.32(a) – Temporary Exception for Insured Institutions</w:t>
            </w:r>
          </w:p>
        </w:tc>
        <w:tc>
          <w:tcPr>
            <w:tcW w:w="660" w:type="dxa"/>
            <w:shd w:val="clear" w:color="auto" w:fill="D9D9D9" w:themeFill="background1" w:themeFillShade="D9"/>
          </w:tcPr>
          <w:p w14:paraId="69981EDF"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E0"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E1" w14:textId="77777777" w:rsidR="003D07CA" w:rsidRPr="00637580" w:rsidRDefault="003D07CA" w:rsidP="003E1F68">
            <w:pPr>
              <w:spacing w:before="40" w:after="40"/>
              <w:jc w:val="center"/>
              <w:rPr>
                <w:rFonts w:ascii="Arial" w:hAnsi="Arial" w:cs="Arial"/>
                <w:sz w:val="18"/>
                <w:szCs w:val="18"/>
              </w:rPr>
            </w:pPr>
          </w:p>
        </w:tc>
      </w:tr>
      <w:tr w:rsidR="003D07CA" w:rsidRPr="00637580" w14:paraId="69981EE7" w14:textId="77777777" w:rsidTr="003E1F68">
        <w:tc>
          <w:tcPr>
            <w:tcW w:w="7020" w:type="dxa"/>
          </w:tcPr>
          <w:p w14:paraId="69981EE3" w14:textId="77777777" w:rsidR="003D07CA" w:rsidRPr="007C7C6F" w:rsidRDefault="003D07CA" w:rsidP="00525B7F">
            <w:pPr>
              <w:numPr>
                <w:ilvl w:val="0"/>
                <w:numId w:val="99"/>
              </w:numPr>
              <w:spacing w:before="40" w:after="40"/>
              <w:ind w:left="522" w:hanging="522"/>
              <w:rPr>
                <w:rFonts w:ascii="Arial" w:hAnsi="Arial" w:cs="Arial"/>
                <w:sz w:val="18"/>
                <w:szCs w:val="18"/>
              </w:rPr>
            </w:pPr>
            <w:r w:rsidRPr="00637580">
              <w:rPr>
                <w:rFonts w:ascii="Arial" w:hAnsi="Arial" w:cs="Arial"/>
                <w:sz w:val="18"/>
                <w:szCs w:val="18"/>
              </w:rPr>
              <w:t>If the remittance transfer provider is an insured institution (as defined by 12</w:t>
            </w:r>
            <w:r>
              <w:rPr>
                <w:rFonts w:ascii="Arial" w:hAnsi="Arial" w:cs="Arial"/>
                <w:sz w:val="18"/>
                <w:szCs w:val="18"/>
              </w:rPr>
              <w:t> </w:t>
            </w:r>
            <w:r w:rsidRPr="007C7C6F">
              <w:rPr>
                <w:rFonts w:ascii="Arial" w:hAnsi="Arial" w:cs="Arial"/>
                <w:sz w:val="18"/>
                <w:szCs w:val="18"/>
              </w:rPr>
              <w:t>CFR 1005.32(a</w:t>
            </w:r>
            <w:proofErr w:type="gramStart"/>
            <w:r w:rsidRPr="007C7C6F">
              <w:rPr>
                <w:rFonts w:ascii="Arial" w:hAnsi="Arial" w:cs="Arial"/>
                <w:sz w:val="18"/>
                <w:szCs w:val="18"/>
              </w:rPr>
              <w:t>)(</w:t>
            </w:r>
            <w:proofErr w:type="gramEnd"/>
            <w:r w:rsidRPr="007C7C6F">
              <w:rPr>
                <w:rFonts w:ascii="Arial" w:hAnsi="Arial" w:cs="Arial"/>
                <w:sz w:val="18"/>
                <w:szCs w:val="18"/>
              </w:rPr>
              <w:t>3)</w:t>
            </w:r>
            <w:r w:rsidRPr="00637580">
              <w:rPr>
                <w:rFonts w:ascii="Arial" w:hAnsi="Arial" w:cs="Arial"/>
                <w:sz w:val="18"/>
                <w:szCs w:val="18"/>
              </w:rPr>
              <w:t>), does the institution use estimates in its disclosures for transactions sent from the sender’s account with the institution? (12</w:t>
            </w:r>
            <w:r>
              <w:rPr>
                <w:rFonts w:ascii="Arial" w:hAnsi="Arial" w:cs="Arial"/>
                <w:sz w:val="18"/>
                <w:szCs w:val="18"/>
              </w:rPr>
              <w:t> </w:t>
            </w:r>
            <w:r w:rsidRPr="007C7C6F">
              <w:rPr>
                <w:rFonts w:ascii="Arial" w:hAnsi="Arial" w:cs="Arial"/>
                <w:sz w:val="18"/>
                <w:szCs w:val="18"/>
              </w:rPr>
              <w:t>CFR</w:t>
            </w:r>
            <w:r w:rsidR="007E569B">
              <w:rPr>
                <w:rFonts w:ascii="Arial" w:hAnsi="Arial" w:cs="Arial"/>
                <w:sz w:val="18"/>
                <w:szCs w:val="18"/>
              </w:rPr>
              <w:t> </w:t>
            </w:r>
            <w:r w:rsidRPr="007C7C6F">
              <w:rPr>
                <w:rFonts w:ascii="Arial" w:hAnsi="Arial" w:cs="Arial"/>
                <w:sz w:val="18"/>
                <w:szCs w:val="18"/>
              </w:rPr>
              <w:t>1005.32(a)</w:t>
            </w:r>
            <w:r w:rsidR="00031B87">
              <w:rPr>
                <w:rFonts w:ascii="Arial" w:hAnsi="Arial" w:cs="Arial"/>
                <w:sz w:val="18"/>
                <w:szCs w:val="18"/>
              </w:rPr>
              <w:t>(1)</w:t>
            </w:r>
            <w:r w:rsidRPr="007C7C6F">
              <w:rPr>
                <w:rFonts w:ascii="Arial" w:hAnsi="Arial" w:cs="Arial"/>
                <w:sz w:val="18"/>
                <w:szCs w:val="18"/>
              </w:rPr>
              <w:t>(iii))</w:t>
            </w:r>
          </w:p>
        </w:tc>
        <w:tc>
          <w:tcPr>
            <w:tcW w:w="660" w:type="dxa"/>
            <w:shd w:val="clear" w:color="auto" w:fill="auto"/>
          </w:tcPr>
          <w:p w14:paraId="69981EE4"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EE5"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EE6" w14:textId="77777777" w:rsidR="003D07CA" w:rsidRPr="00637580" w:rsidRDefault="003D07CA" w:rsidP="003E1F68">
            <w:pPr>
              <w:spacing w:before="40" w:after="40"/>
              <w:jc w:val="center"/>
              <w:rPr>
                <w:rFonts w:ascii="Arial" w:hAnsi="Arial" w:cs="Arial"/>
                <w:sz w:val="18"/>
                <w:szCs w:val="18"/>
              </w:rPr>
            </w:pPr>
          </w:p>
        </w:tc>
      </w:tr>
      <w:tr w:rsidR="003D07CA" w:rsidRPr="00637580" w14:paraId="69981EEC" w14:textId="77777777" w:rsidTr="003E1F68">
        <w:tc>
          <w:tcPr>
            <w:tcW w:w="7020" w:type="dxa"/>
            <w:tcBorders>
              <w:bottom w:val="single" w:sz="4" w:space="0" w:color="auto"/>
            </w:tcBorders>
          </w:tcPr>
          <w:p w14:paraId="69981EE8" w14:textId="77777777" w:rsidR="003D07CA" w:rsidRPr="00637580" w:rsidRDefault="003D07CA" w:rsidP="00525B7F">
            <w:pPr>
              <w:numPr>
                <w:ilvl w:val="0"/>
                <w:numId w:val="99"/>
              </w:numPr>
              <w:spacing w:before="40" w:after="40"/>
              <w:ind w:left="522" w:hanging="522"/>
              <w:rPr>
                <w:rFonts w:ascii="Arial" w:hAnsi="Arial" w:cs="Arial"/>
                <w:sz w:val="18"/>
                <w:szCs w:val="18"/>
              </w:rPr>
            </w:pPr>
            <w:r w:rsidRPr="00637580">
              <w:rPr>
                <w:rFonts w:ascii="Arial" w:hAnsi="Arial" w:cs="Arial"/>
                <w:sz w:val="18"/>
                <w:szCs w:val="18"/>
              </w:rPr>
              <w:t xml:space="preserve">If so, is the financial institution unable to determine the exact amounts for reasons beyond its control because a person other than the institution or with which the institution has </w:t>
            </w:r>
            <w:r w:rsidR="00031B87">
              <w:rPr>
                <w:rFonts w:ascii="Arial" w:hAnsi="Arial" w:cs="Arial"/>
                <w:sz w:val="18"/>
                <w:szCs w:val="18"/>
              </w:rPr>
              <w:t>a</w:t>
            </w:r>
            <w:r w:rsidRPr="00637580">
              <w:rPr>
                <w:rFonts w:ascii="Arial" w:hAnsi="Arial" w:cs="Arial"/>
                <w:sz w:val="18"/>
                <w:szCs w:val="18"/>
              </w:rPr>
              <w:t xml:space="preserve"> correspondent relationship sets the exchange rate required to be disclosed or imposes a fee required to be disclosed? (12</w:t>
            </w:r>
            <w:r w:rsidR="007E569B">
              <w:rPr>
                <w:rFonts w:ascii="Arial" w:hAnsi="Arial" w:cs="Arial"/>
                <w:sz w:val="18"/>
                <w:szCs w:val="18"/>
              </w:rPr>
              <w:t> </w:t>
            </w:r>
            <w:r w:rsidRPr="00637580">
              <w:rPr>
                <w:rFonts w:ascii="Arial" w:hAnsi="Arial" w:cs="Arial"/>
                <w:sz w:val="18"/>
                <w:szCs w:val="18"/>
              </w:rPr>
              <w:t>CFR</w:t>
            </w:r>
            <w:r w:rsidR="007E569B">
              <w:rPr>
                <w:rFonts w:ascii="Arial" w:hAnsi="Arial" w:cs="Arial"/>
                <w:sz w:val="18"/>
                <w:szCs w:val="18"/>
              </w:rPr>
              <w:t> </w:t>
            </w:r>
            <w:r w:rsidRPr="00637580">
              <w:rPr>
                <w:rFonts w:ascii="Arial" w:hAnsi="Arial" w:cs="Arial"/>
                <w:sz w:val="18"/>
                <w:szCs w:val="18"/>
              </w:rPr>
              <w:t>1005.32(a)(1)(i)) and staff commentary 32(a)(1)–1)</w:t>
            </w:r>
          </w:p>
        </w:tc>
        <w:tc>
          <w:tcPr>
            <w:tcW w:w="660" w:type="dxa"/>
            <w:tcBorders>
              <w:bottom w:val="single" w:sz="4" w:space="0" w:color="auto"/>
            </w:tcBorders>
            <w:shd w:val="clear" w:color="auto" w:fill="auto"/>
          </w:tcPr>
          <w:p w14:paraId="69981EE9"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EEA"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EEB" w14:textId="77777777" w:rsidR="003D07CA" w:rsidRPr="00637580" w:rsidRDefault="003D07CA" w:rsidP="003E1F68">
            <w:pPr>
              <w:spacing w:before="40" w:after="40"/>
              <w:jc w:val="center"/>
              <w:rPr>
                <w:rFonts w:ascii="Arial" w:hAnsi="Arial" w:cs="Arial"/>
                <w:sz w:val="18"/>
                <w:szCs w:val="18"/>
              </w:rPr>
            </w:pPr>
          </w:p>
        </w:tc>
      </w:tr>
    </w:tbl>
    <w:p w14:paraId="69981EED" w14:textId="77777777" w:rsidR="003D07CA" w:rsidRPr="00637580" w:rsidRDefault="003D07CA" w:rsidP="003D07CA">
      <w:pPr>
        <w:rPr>
          <w:rFonts w:ascii="Arial" w:hAnsi="Arial" w:cs="Arial"/>
          <w:sz w:val="18"/>
          <w:szCs w:val="18"/>
        </w:rPr>
      </w:pPr>
      <w:r w:rsidRPr="00637580">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660"/>
        <w:gridCol w:w="660"/>
        <w:gridCol w:w="660"/>
      </w:tblGrid>
      <w:tr w:rsidR="003D07CA" w:rsidRPr="00637580" w14:paraId="69981EF2" w14:textId="77777777" w:rsidTr="003E1F68">
        <w:tc>
          <w:tcPr>
            <w:tcW w:w="7020" w:type="dxa"/>
            <w:shd w:val="clear" w:color="auto" w:fill="auto"/>
          </w:tcPr>
          <w:p w14:paraId="69981EEE" w14:textId="77777777" w:rsidR="003D07CA" w:rsidRPr="007C7C6F"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60" w:type="dxa"/>
            <w:shd w:val="clear" w:color="auto" w:fill="auto"/>
          </w:tcPr>
          <w:p w14:paraId="69981EEF"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Yes</w:t>
            </w:r>
          </w:p>
        </w:tc>
        <w:tc>
          <w:tcPr>
            <w:tcW w:w="660" w:type="dxa"/>
            <w:shd w:val="clear" w:color="auto" w:fill="auto"/>
          </w:tcPr>
          <w:p w14:paraId="69981EF0"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60" w:type="dxa"/>
            <w:shd w:val="clear" w:color="auto" w:fill="auto"/>
          </w:tcPr>
          <w:p w14:paraId="69981EF1"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EF7" w14:textId="77777777" w:rsidTr="003E1F68">
        <w:tc>
          <w:tcPr>
            <w:tcW w:w="7020" w:type="dxa"/>
            <w:shd w:val="clear" w:color="auto" w:fill="D9D9D9" w:themeFill="background1" w:themeFillShade="D9"/>
          </w:tcPr>
          <w:p w14:paraId="69981EF3" w14:textId="77777777" w:rsidR="003D07CA" w:rsidRPr="00637580" w:rsidRDefault="003D07CA" w:rsidP="007227CC">
            <w:pPr>
              <w:spacing w:before="40" w:after="40"/>
              <w:rPr>
                <w:rFonts w:ascii="Arial" w:hAnsi="Arial" w:cs="Arial"/>
                <w:sz w:val="18"/>
                <w:szCs w:val="18"/>
              </w:rPr>
            </w:pPr>
            <w:r w:rsidRPr="00637580">
              <w:rPr>
                <w:rFonts w:ascii="Arial" w:hAnsi="Arial" w:cs="Arial"/>
                <w:b/>
                <w:sz w:val="18"/>
                <w:szCs w:val="18"/>
              </w:rPr>
              <w:t>12 CFR 1005.32(b)(1) – Permanent Exception for Transfers to Certain Countries</w:t>
            </w:r>
          </w:p>
        </w:tc>
        <w:tc>
          <w:tcPr>
            <w:tcW w:w="660" w:type="dxa"/>
            <w:shd w:val="clear" w:color="auto" w:fill="D9D9D9" w:themeFill="background1" w:themeFillShade="D9"/>
          </w:tcPr>
          <w:p w14:paraId="69981EF4"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F5"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EF6" w14:textId="77777777" w:rsidR="003D07CA" w:rsidRPr="00637580" w:rsidRDefault="003D07CA" w:rsidP="003E1F68">
            <w:pPr>
              <w:spacing w:before="40" w:after="40"/>
              <w:jc w:val="center"/>
              <w:rPr>
                <w:rFonts w:ascii="Arial" w:hAnsi="Arial" w:cs="Arial"/>
                <w:sz w:val="18"/>
                <w:szCs w:val="18"/>
              </w:rPr>
            </w:pPr>
          </w:p>
        </w:tc>
      </w:tr>
      <w:tr w:rsidR="003D07CA" w:rsidRPr="00637580" w14:paraId="69981EFC" w14:textId="77777777" w:rsidTr="003E1F68">
        <w:tc>
          <w:tcPr>
            <w:tcW w:w="7020" w:type="dxa"/>
          </w:tcPr>
          <w:p w14:paraId="69981EF8" w14:textId="77777777" w:rsidR="003D07CA" w:rsidRPr="00637580" w:rsidRDefault="003D07CA" w:rsidP="00525B7F">
            <w:pPr>
              <w:numPr>
                <w:ilvl w:val="0"/>
                <w:numId w:val="99"/>
              </w:numPr>
              <w:spacing w:before="40" w:after="40"/>
              <w:ind w:left="522" w:hanging="522"/>
              <w:rPr>
                <w:rFonts w:ascii="Arial" w:hAnsi="Arial" w:cs="Arial"/>
                <w:sz w:val="18"/>
                <w:szCs w:val="18"/>
              </w:rPr>
            </w:pPr>
            <w:r w:rsidRPr="00637580">
              <w:rPr>
                <w:rFonts w:ascii="Arial" w:hAnsi="Arial" w:cs="Arial"/>
                <w:sz w:val="18"/>
                <w:szCs w:val="18"/>
              </w:rPr>
              <w:t>Does the provider appropriately rely on the list provided by the CFPB when using estimates under the permanent exception for transactions to countries in which the laws of the country do not allow a determination of exact amounts? (12 CFR 1005.32(b)(1)(i)(A) and (b)(1)(ii))</w:t>
            </w:r>
          </w:p>
        </w:tc>
        <w:tc>
          <w:tcPr>
            <w:tcW w:w="660" w:type="dxa"/>
            <w:shd w:val="clear" w:color="auto" w:fill="auto"/>
          </w:tcPr>
          <w:p w14:paraId="69981EF9"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EFA"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EFB" w14:textId="77777777" w:rsidR="003D07CA" w:rsidRPr="00637580" w:rsidRDefault="003D07CA" w:rsidP="003E1F68">
            <w:pPr>
              <w:spacing w:before="40" w:after="40"/>
              <w:jc w:val="center"/>
              <w:rPr>
                <w:rFonts w:ascii="Arial" w:hAnsi="Arial" w:cs="Arial"/>
                <w:sz w:val="18"/>
                <w:szCs w:val="18"/>
              </w:rPr>
            </w:pPr>
          </w:p>
        </w:tc>
      </w:tr>
      <w:tr w:rsidR="003D07CA" w:rsidRPr="00637580" w14:paraId="69981F03" w14:textId="77777777" w:rsidTr="003E1F68">
        <w:tc>
          <w:tcPr>
            <w:tcW w:w="7020" w:type="dxa"/>
            <w:tcBorders>
              <w:bottom w:val="single" w:sz="4" w:space="0" w:color="auto"/>
            </w:tcBorders>
          </w:tcPr>
          <w:p w14:paraId="69981EFD" w14:textId="77777777" w:rsidR="003D07CA" w:rsidRPr="00637580" w:rsidRDefault="003D07CA" w:rsidP="00525B7F">
            <w:pPr>
              <w:numPr>
                <w:ilvl w:val="0"/>
                <w:numId w:val="99"/>
              </w:numPr>
              <w:spacing w:before="40" w:after="40"/>
              <w:ind w:left="522" w:hanging="522"/>
              <w:rPr>
                <w:rFonts w:ascii="Arial" w:hAnsi="Arial" w:cs="Arial"/>
                <w:sz w:val="18"/>
                <w:szCs w:val="18"/>
              </w:rPr>
            </w:pPr>
            <w:r w:rsidRPr="00637580">
              <w:rPr>
                <w:rFonts w:ascii="Arial" w:hAnsi="Arial" w:cs="Arial"/>
                <w:sz w:val="18"/>
                <w:szCs w:val="18"/>
              </w:rPr>
              <w:t>If the provider provides estimates for transactions in a country which does not appear on the safe harbor list published by the CFPB, does the entity appropriately determine that the laws of or the method by which transactions are conducted in the recipient country do not permit the determination of exact amounts</w:t>
            </w:r>
            <w:r w:rsidR="004C2B01">
              <w:rPr>
                <w:rFonts w:ascii="Arial" w:hAnsi="Arial" w:cs="Arial"/>
                <w:sz w:val="18"/>
                <w:szCs w:val="18"/>
              </w:rPr>
              <w:t>?</w:t>
            </w:r>
            <w:r w:rsidRPr="00637580">
              <w:rPr>
                <w:rFonts w:ascii="Arial" w:hAnsi="Arial" w:cs="Arial"/>
                <w:sz w:val="18"/>
                <w:szCs w:val="18"/>
              </w:rPr>
              <w:t xml:space="preserve"> (12 CFR 1005.32(b)(1)(i)(B) and staff commentary </w:t>
            </w:r>
            <w:r w:rsidR="00CE5F87">
              <w:rPr>
                <w:rFonts w:ascii="Arial" w:hAnsi="Arial" w:cs="Arial"/>
                <w:sz w:val="18"/>
                <w:szCs w:val="18"/>
              </w:rPr>
              <w:t>1005.</w:t>
            </w:r>
            <w:r w:rsidRPr="00637580">
              <w:rPr>
                <w:rFonts w:ascii="Arial" w:hAnsi="Arial" w:cs="Arial"/>
                <w:sz w:val="18"/>
                <w:szCs w:val="18"/>
              </w:rPr>
              <w:t>32(b)</w:t>
            </w:r>
            <w:r w:rsidR="00CE5F87">
              <w:rPr>
                <w:rFonts w:ascii="Arial" w:hAnsi="Arial" w:cs="Arial"/>
                <w:sz w:val="18"/>
                <w:szCs w:val="18"/>
              </w:rPr>
              <w:t>–</w:t>
            </w:r>
            <w:r w:rsidRPr="00637580">
              <w:rPr>
                <w:rFonts w:ascii="Arial" w:hAnsi="Arial" w:cs="Arial"/>
                <w:sz w:val="18"/>
                <w:szCs w:val="18"/>
              </w:rPr>
              <w:t xml:space="preserve">5) </w:t>
            </w:r>
          </w:p>
          <w:p w14:paraId="69981EFE" w14:textId="77777777" w:rsidR="003D07CA" w:rsidRPr="00637580" w:rsidRDefault="003D07CA" w:rsidP="003E1F68">
            <w:pPr>
              <w:spacing w:before="40" w:after="40"/>
              <w:ind w:left="522"/>
              <w:rPr>
                <w:rFonts w:ascii="Arial" w:hAnsi="Arial" w:cs="Arial"/>
                <w:sz w:val="18"/>
                <w:szCs w:val="18"/>
              </w:rPr>
            </w:pPr>
          </w:p>
          <w:p w14:paraId="69981EFF" w14:textId="77777777" w:rsidR="003D07CA" w:rsidRPr="00637580" w:rsidRDefault="003D07CA" w:rsidP="003E1F68">
            <w:pPr>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A provider cannot rely on the CFPB list if it has information that the laws of a country on the list permit exact disclosures.</w:t>
            </w:r>
          </w:p>
        </w:tc>
        <w:tc>
          <w:tcPr>
            <w:tcW w:w="660" w:type="dxa"/>
            <w:tcBorders>
              <w:bottom w:val="single" w:sz="4" w:space="0" w:color="auto"/>
            </w:tcBorders>
            <w:shd w:val="clear" w:color="auto" w:fill="auto"/>
          </w:tcPr>
          <w:p w14:paraId="69981F00"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F01"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F02" w14:textId="77777777" w:rsidR="003D07CA" w:rsidRPr="00637580" w:rsidRDefault="003D07CA" w:rsidP="003E1F68">
            <w:pPr>
              <w:spacing w:before="40" w:after="40"/>
              <w:jc w:val="center"/>
              <w:rPr>
                <w:rFonts w:ascii="Arial" w:hAnsi="Arial" w:cs="Arial"/>
                <w:sz w:val="18"/>
                <w:szCs w:val="18"/>
              </w:rPr>
            </w:pPr>
          </w:p>
        </w:tc>
      </w:tr>
      <w:tr w:rsidR="003D07CA" w:rsidRPr="00637580" w14:paraId="69981F08" w14:textId="77777777" w:rsidTr="003E1F68">
        <w:tc>
          <w:tcPr>
            <w:tcW w:w="7020" w:type="dxa"/>
            <w:shd w:val="clear" w:color="auto" w:fill="D9D9D9" w:themeFill="background1" w:themeFillShade="D9"/>
          </w:tcPr>
          <w:p w14:paraId="69981F04" w14:textId="77777777" w:rsidR="003D07CA" w:rsidRPr="00637580" w:rsidRDefault="003D07CA" w:rsidP="007227CC">
            <w:pPr>
              <w:spacing w:before="40" w:after="40"/>
              <w:rPr>
                <w:rFonts w:ascii="Arial" w:hAnsi="Arial" w:cs="Arial"/>
                <w:sz w:val="18"/>
                <w:szCs w:val="18"/>
              </w:rPr>
            </w:pPr>
            <w:r w:rsidRPr="00637580">
              <w:rPr>
                <w:rFonts w:ascii="Arial" w:eastAsia="Calibri" w:hAnsi="Arial" w:cs="Arial"/>
                <w:b/>
                <w:sz w:val="18"/>
                <w:szCs w:val="18"/>
              </w:rPr>
              <w:t xml:space="preserve">12 CFR 1005.32(b)(2) </w:t>
            </w:r>
            <w:r w:rsidRPr="00637580">
              <w:rPr>
                <w:rFonts w:ascii="Arial" w:hAnsi="Arial" w:cs="Arial"/>
                <w:b/>
                <w:sz w:val="18"/>
                <w:szCs w:val="18"/>
              </w:rPr>
              <w:t>–</w:t>
            </w:r>
            <w:r w:rsidRPr="00637580">
              <w:rPr>
                <w:rFonts w:ascii="Arial" w:eastAsia="Calibri" w:hAnsi="Arial" w:cs="Arial"/>
                <w:b/>
                <w:sz w:val="18"/>
                <w:szCs w:val="18"/>
              </w:rPr>
              <w:t xml:space="preserve"> Permanent Exception for Transfers Scheduled </w:t>
            </w:r>
            <w:r w:rsidR="00CE5F87">
              <w:rPr>
                <w:rFonts w:ascii="Arial" w:eastAsia="Calibri" w:hAnsi="Arial" w:cs="Arial"/>
                <w:b/>
                <w:sz w:val="18"/>
                <w:szCs w:val="18"/>
              </w:rPr>
              <w:t>B</w:t>
            </w:r>
            <w:r w:rsidRPr="00637580">
              <w:rPr>
                <w:rFonts w:ascii="Arial" w:eastAsia="Calibri" w:hAnsi="Arial" w:cs="Arial"/>
                <w:b/>
                <w:sz w:val="18"/>
                <w:szCs w:val="18"/>
              </w:rPr>
              <w:t>efore the Date of Transfer</w:t>
            </w:r>
          </w:p>
        </w:tc>
        <w:tc>
          <w:tcPr>
            <w:tcW w:w="660" w:type="dxa"/>
            <w:shd w:val="clear" w:color="auto" w:fill="D9D9D9" w:themeFill="background1" w:themeFillShade="D9"/>
          </w:tcPr>
          <w:p w14:paraId="69981F05"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F06"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F07" w14:textId="77777777" w:rsidR="003D07CA" w:rsidRPr="00637580" w:rsidRDefault="003D07CA" w:rsidP="003E1F68">
            <w:pPr>
              <w:spacing w:before="40" w:after="40"/>
              <w:jc w:val="center"/>
              <w:rPr>
                <w:rFonts w:ascii="Arial" w:hAnsi="Arial" w:cs="Arial"/>
                <w:sz w:val="18"/>
                <w:szCs w:val="18"/>
              </w:rPr>
            </w:pPr>
          </w:p>
        </w:tc>
      </w:tr>
      <w:tr w:rsidR="003D07CA" w:rsidRPr="00637580" w14:paraId="69981F0D" w14:textId="77777777" w:rsidTr="003E1F68">
        <w:trPr>
          <w:trHeight w:val="341"/>
        </w:trPr>
        <w:tc>
          <w:tcPr>
            <w:tcW w:w="7020" w:type="dxa"/>
            <w:tcBorders>
              <w:bottom w:val="single" w:sz="4" w:space="0" w:color="auto"/>
            </w:tcBorders>
          </w:tcPr>
          <w:p w14:paraId="69981F09" w14:textId="77777777" w:rsidR="003D07CA" w:rsidRPr="00637580" w:rsidRDefault="003D07CA" w:rsidP="00525B7F">
            <w:pPr>
              <w:numPr>
                <w:ilvl w:val="0"/>
                <w:numId w:val="99"/>
              </w:numPr>
              <w:spacing w:before="40" w:after="40"/>
              <w:ind w:left="522" w:hanging="522"/>
              <w:rPr>
                <w:rFonts w:ascii="Arial" w:eastAsia="Calibri" w:hAnsi="Arial" w:cs="Arial"/>
                <w:b/>
                <w:bCs/>
                <w:color w:val="000000"/>
                <w:sz w:val="18"/>
                <w:szCs w:val="18"/>
              </w:rPr>
            </w:pPr>
            <w:r w:rsidRPr="00637580">
              <w:rPr>
                <w:rFonts w:ascii="Arial" w:hAnsi="Arial" w:cs="Arial"/>
                <w:sz w:val="18"/>
                <w:szCs w:val="18"/>
              </w:rPr>
              <w:t>For transfers scheduled five or more business days before the date of the transfer for which estimates may be provided, does the provider comply with the requirements of 12 CFR 1005.32(b)(2)?</w:t>
            </w:r>
          </w:p>
        </w:tc>
        <w:tc>
          <w:tcPr>
            <w:tcW w:w="660" w:type="dxa"/>
            <w:tcBorders>
              <w:bottom w:val="single" w:sz="4" w:space="0" w:color="auto"/>
            </w:tcBorders>
            <w:shd w:val="clear" w:color="auto" w:fill="auto"/>
          </w:tcPr>
          <w:p w14:paraId="69981F0A"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F0B"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F0C" w14:textId="77777777" w:rsidR="003D07CA" w:rsidRPr="00637580" w:rsidRDefault="003D07CA" w:rsidP="003E1F68">
            <w:pPr>
              <w:spacing w:before="40" w:after="40"/>
              <w:jc w:val="center"/>
              <w:rPr>
                <w:rFonts w:ascii="Arial" w:hAnsi="Arial" w:cs="Arial"/>
                <w:sz w:val="18"/>
                <w:szCs w:val="18"/>
              </w:rPr>
            </w:pPr>
          </w:p>
        </w:tc>
      </w:tr>
      <w:tr w:rsidR="003D07CA" w:rsidRPr="00637580" w14:paraId="69981F12" w14:textId="77777777" w:rsidTr="003E1F68">
        <w:tc>
          <w:tcPr>
            <w:tcW w:w="7020" w:type="dxa"/>
            <w:shd w:val="clear" w:color="auto" w:fill="D9D9D9" w:themeFill="background1" w:themeFillShade="D9"/>
          </w:tcPr>
          <w:p w14:paraId="69981F0E" w14:textId="77777777" w:rsidR="003D07CA" w:rsidRPr="00637580" w:rsidRDefault="003D07CA" w:rsidP="007227CC">
            <w:pPr>
              <w:spacing w:before="40" w:after="40"/>
              <w:rPr>
                <w:rFonts w:ascii="Arial" w:eastAsia="Calibri" w:hAnsi="Arial" w:cs="Arial"/>
                <w:sz w:val="18"/>
                <w:szCs w:val="18"/>
              </w:rPr>
            </w:pPr>
            <w:r w:rsidRPr="00637580">
              <w:rPr>
                <w:rFonts w:ascii="Arial" w:hAnsi="Arial" w:cs="Arial"/>
                <w:b/>
                <w:sz w:val="18"/>
                <w:szCs w:val="18"/>
              </w:rPr>
              <w:t>12 CFR 1005.32(b)(3) – Permanent Exception for Optional Disclosure of Non-covered Third-Party Fees and Taxes Collected by a Third Party</w:t>
            </w:r>
          </w:p>
        </w:tc>
        <w:tc>
          <w:tcPr>
            <w:tcW w:w="660" w:type="dxa"/>
            <w:shd w:val="clear" w:color="auto" w:fill="D9D9D9" w:themeFill="background1" w:themeFillShade="D9"/>
          </w:tcPr>
          <w:p w14:paraId="69981F0F"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F10"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F11" w14:textId="77777777" w:rsidR="003D07CA" w:rsidRPr="00637580" w:rsidRDefault="003D07CA" w:rsidP="003E1F68">
            <w:pPr>
              <w:spacing w:before="40" w:after="40"/>
              <w:jc w:val="center"/>
              <w:rPr>
                <w:rFonts w:ascii="Arial" w:hAnsi="Arial" w:cs="Arial"/>
                <w:sz w:val="18"/>
                <w:szCs w:val="18"/>
              </w:rPr>
            </w:pPr>
          </w:p>
        </w:tc>
      </w:tr>
      <w:tr w:rsidR="003D07CA" w:rsidRPr="00637580" w14:paraId="69981F17" w14:textId="77777777" w:rsidTr="003E1F68">
        <w:tc>
          <w:tcPr>
            <w:tcW w:w="7020" w:type="dxa"/>
            <w:tcBorders>
              <w:bottom w:val="single" w:sz="4" w:space="0" w:color="auto"/>
            </w:tcBorders>
          </w:tcPr>
          <w:p w14:paraId="69981F13" w14:textId="77777777" w:rsidR="003D07CA" w:rsidRPr="00637580" w:rsidRDefault="003D07CA" w:rsidP="00525B7F">
            <w:pPr>
              <w:numPr>
                <w:ilvl w:val="0"/>
                <w:numId w:val="99"/>
              </w:numPr>
              <w:spacing w:before="40" w:after="40"/>
              <w:ind w:left="522" w:hanging="540"/>
              <w:rPr>
                <w:rFonts w:ascii="Arial" w:eastAsia="Calibri" w:hAnsi="Arial" w:cs="Arial"/>
                <w:sz w:val="18"/>
                <w:szCs w:val="18"/>
              </w:rPr>
            </w:pPr>
            <w:r w:rsidRPr="00637580">
              <w:rPr>
                <w:rFonts w:ascii="Arial" w:eastAsia="+mn-ea" w:hAnsi="Arial" w:cs="Arial"/>
                <w:sz w:val="18"/>
                <w:szCs w:val="18"/>
              </w:rPr>
              <w:t xml:space="preserve">If the provider includes </w:t>
            </w:r>
            <w:r w:rsidRPr="00637580">
              <w:rPr>
                <w:rFonts w:ascii="Arial" w:hAnsi="Arial" w:cs="Arial"/>
                <w:sz w:val="18"/>
                <w:szCs w:val="18"/>
              </w:rPr>
              <w:t>in the disclaimer statement required by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1005.31(b</w:t>
            </w:r>
            <w:proofErr w:type="gramStart"/>
            <w:r w:rsidRPr="007C7C6F">
              <w:rPr>
                <w:rFonts w:ascii="Arial" w:hAnsi="Arial" w:cs="Arial"/>
                <w:sz w:val="18"/>
                <w:szCs w:val="18"/>
              </w:rPr>
              <w:t>)(</w:t>
            </w:r>
            <w:proofErr w:type="gramEnd"/>
            <w:r w:rsidRPr="007C7C6F">
              <w:rPr>
                <w:rFonts w:ascii="Arial" w:hAnsi="Arial" w:cs="Arial"/>
                <w:sz w:val="18"/>
                <w:szCs w:val="18"/>
              </w:rPr>
              <w:t>1)(viii), an optional estimated disclosure of applicable non-covered third</w:t>
            </w:r>
            <w:r w:rsidR="00CE5F87">
              <w:rPr>
                <w:rFonts w:ascii="Arial" w:hAnsi="Arial" w:cs="Arial"/>
                <w:sz w:val="18"/>
                <w:szCs w:val="18"/>
              </w:rPr>
              <w:t>-</w:t>
            </w:r>
            <w:r w:rsidRPr="007C7C6F">
              <w:rPr>
                <w:rFonts w:ascii="Arial" w:hAnsi="Arial" w:cs="Arial"/>
                <w:sz w:val="18"/>
                <w:szCs w:val="18"/>
              </w:rPr>
              <w:t>party fees or taxes, are the estimates based on reas</w:t>
            </w:r>
            <w:r w:rsidRPr="00637580">
              <w:rPr>
                <w:rFonts w:ascii="Arial" w:hAnsi="Arial" w:cs="Arial"/>
                <w:sz w:val="18"/>
                <w:szCs w:val="18"/>
              </w:rPr>
              <w:t>onable sources? (12 CFR 1005.32(b)(3))</w:t>
            </w:r>
          </w:p>
        </w:tc>
        <w:tc>
          <w:tcPr>
            <w:tcW w:w="660" w:type="dxa"/>
            <w:tcBorders>
              <w:bottom w:val="single" w:sz="4" w:space="0" w:color="auto"/>
            </w:tcBorders>
            <w:shd w:val="clear" w:color="auto" w:fill="auto"/>
          </w:tcPr>
          <w:p w14:paraId="69981F14"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F15"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F16" w14:textId="77777777" w:rsidR="003D07CA" w:rsidRPr="00637580" w:rsidRDefault="003D07CA" w:rsidP="003E1F68">
            <w:pPr>
              <w:spacing w:before="40" w:after="40"/>
              <w:jc w:val="center"/>
              <w:rPr>
                <w:rFonts w:ascii="Arial" w:hAnsi="Arial" w:cs="Arial"/>
                <w:sz w:val="18"/>
                <w:szCs w:val="18"/>
              </w:rPr>
            </w:pPr>
          </w:p>
        </w:tc>
      </w:tr>
      <w:tr w:rsidR="003D07CA" w:rsidRPr="00637580" w14:paraId="69981F1C" w14:textId="77777777" w:rsidTr="003E1F68">
        <w:tc>
          <w:tcPr>
            <w:tcW w:w="7020" w:type="dxa"/>
            <w:shd w:val="clear" w:color="auto" w:fill="D9D9D9" w:themeFill="background1" w:themeFillShade="D9"/>
          </w:tcPr>
          <w:p w14:paraId="69981F18" w14:textId="77777777" w:rsidR="003D07CA" w:rsidRPr="00637580" w:rsidRDefault="003D07CA" w:rsidP="007227CC">
            <w:pPr>
              <w:spacing w:before="40" w:after="40"/>
              <w:rPr>
                <w:rFonts w:ascii="Arial" w:eastAsia="+mn-ea" w:hAnsi="Arial" w:cs="Arial"/>
                <w:b/>
                <w:sz w:val="18"/>
                <w:szCs w:val="18"/>
              </w:rPr>
            </w:pPr>
            <w:r w:rsidRPr="00637580">
              <w:rPr>
                <w:rFonts w:ascii="Arial" w:hAnsi="Arial" w:cs="Arial"/>
                <w:b/>
                <w:sz w:val="18"/>
                <w:szCs w:val="18"/>
              </w:rPr>
              <w:t xml:space="preserve">12 CFR 1005.32(c) – Bases for Estimates </w:t>
            </w:r>
          </w:p>
        </w:tc>
        <w:tc>
          <w:tcPr>
            <w:tcW w:w="660" w:type="dxa"/>
            <w:shd w:val="clear" w:color="auto" w:fill="D9D9D9" w:themeFill="background1" w:themeFillShade="D9"/>
          </w:tcPr>
          <w:p w14:paraId="69981F19"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F1A"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F1B" w14:textId="77777777" w:rsidR="003D07CA" w:rsidRPr="00637580" w:rsidRDefault="003D07CA" w:rsidP="003E1F68">
            <w:pPr>
              <w:spacing w:before="40" w:after="40"/>
              <w:jc w:val="center"/>
              <w:rPr>
                <w:rFonts w:ascii="Arial" w:hAnsi="Arial" w:cs="Arial"/>
                <w:sz w:val="18"/>
                <w:szCs w:val="18"/>
              </w:rPr>
            </w:pPr>
          </w:p>
        </w:tc>
      </w:tr>
      <w:tr w:rsidR="003D07CA" w:rsidRPr="00637580" w14:paraId="69981F23" w14:textId="77777777" w:rsidTr="003E1F68">
        <w:tc>
          <w:tcPr>
            <w:tcW w:w="7020" w:type="dxa"/>
          </w:tcPr>
          <w:p w14:paraId="69981F1D" w14:textId="77777777" w:rsidR="003D07CA" w:rsidRPr="00637580" w:rsidRDefault="003D07CA"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Are the bases used to derive the estimates under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1005.32(a),</w:t>
            </w:r>
            <w:r w:rsidR="00147D4C">
              <w:rPr>
                <w:rFonts w:ascii="Arial" w:hAnsi="Arial" w:cs="Arial"/>
                <w:sz w:val="18"/>
                <w:szCs w:val="18"/>
              </w:rPr>
              <w:t xml:space="preserve"> </w:t>
            </w:r>
            <w:r w:rsidRPr="007C7C6F">
              <w:rPr>
                <w:rFonts w:ascii="Arial" w:hAnsi="Arial" w:cs="Arial"/>
                <w:sz w:val="18"/>
                <w:szCs w:val="18"/>
              </w:rPr>
              <w:t>(b)(1) and (b)(2) in compliance with the method for disclosing estimates set forth in 12 CFR 1005</w:t>
            </w:r>
            <w:r w:rsidRPr="00637580">
              <w:rPr>
                <w:rFonts w:ascii="Arial" w:hAnsi="Arial" w:cs="Arial"/>
                <w:sz w:val="18"/>
                <w:szCs w:val="18"/>
              </w:rPr>
              <w:t>.32(c)?</w:t>
            </w:r>
          </w:p>
          <w:p w14:paraId="69981F1E" w14:textId="77777777" w:rsidR="003D07CA" w:rsidRPr="00637580" w:rsidRDefault="003D07CA" w:rsidP="003E1F68">
            <w:pPr>
              <w:spacing w:before="40" w:after="40"/>
              <w:ind w:left="522"/>
              <w:rPr>
                <w:rFonts w:ascii="Arial" w:hAnsi="Arial" w:cs="Arial"/>
                <w:sz w:val="18"/>
                <w:szCs w:val="18"/>
              </w:rPr>
            </w:pPr>
          </w:p>
          <w:p w14:paraId="69981F1F" w14:textId="77777777" w:rsidR="003D07CA" w:rsidRPr="007C7C6F" w:rsidRDefault="003D07CA" w:rsidP="003E1F68">
            <w:pPr>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For transfers scheduled five or more business days before the date of the transfer for which estimates may be provided, the requirements of 12</w:t>
            </w:r>
            <w:r>
              <w:rPr>
                <w:rFonts w:ascii="Arial" w:hAnsi="Arial" w:cs="Arial"/>
                <w:sz w:val="18"/>
                <w:szCs w:val="18"/>
              </w:rPr>
              <w:t> </w:t>
            </w:r>
            <w:r w:rsidRPr="007C7C6F">
              <w:rPr>
                <w:rFonts w:ascii="Arial" w:hAnsi="Arial" w:cs="Arial"/>
                <w:sz w:val="18"/>
                <w:szCs w:val="18"/>
              </w:rPr>
              <w:t>CFR</w:t>
            </w:r>
            <w:r w:rsidR="00C2404D">
              <w:rPr>
                <w:rFonts w:ascii="Arial" w:hAnsi="Arial" w:cs="Arial"/>
                <w:sz w:val="18"/>
                <w:szCs w:val="18"/>
              </w:rPr>
              <w:t> </w:t>
            </w:r>
            <w:r w:rsidRPr="007C7C6F">
              <w:rPr>
                <w:rFonts w:ascii="Arial" w:hAnsi="Arial" w:cs="Arial"/>
                <w:sz w:val="18"/>
                <w:szCs w:val="18"/>
              </w:rPr>
              <w:t xml:space="preserve">1005.32(d) </w:t>
            </w:r>
            <w:proofErr w:type="gramStart"/>
            <w:r w:rsidRPr="007C7C6F">
              <w:rPr>
                <w:rFonts w:ascii="Arial" w:hAnsi="Arial" w:cs="Arial"/>
                <w:sz w:val="18"/>
                <w:szCs w:val="18"/>
              </w:rPr>
              <w:t>apply</w:t>
            </w:r>
            <w:proofErr w:type="gramEnd"/>
            <w:r w:rsidRPr="007C7C6F">
              <w:rPr>
                <w:rFonts w:ascii="Arial" w:hAnsi="Arial" w:cs="Arial"/>
                <w:sz w:val="18"/>
                <w:szCs w:val="18"/>
              </w:rPr>
              <w:t>.</w:t>
            </w:r>
          </w:p>
        </w:tc>
        <w:tc>
          <w:tcPr>
            <w:tcW w:w="660" w:type="dxa"/>
            <w:tcBorders>
              <w:bottom w:val="single" w:sz="4" w:space="0" w:color="auto"/>
            </w:tcBorders>
            <w:shd w:val="clear" w:color="auto" w:fill="auto"/>
          </w:tcPr>
          <w:p w14:paraId="69981F20"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F21"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F22" w14:textId="77777777" w:rsidR="003D07CA" w:rsidRPr="00637580" w:rsidRDefault="003D07CA" w:rsidP="003E1F68">
            <w:pPr>
              <w:spacing w:before="40" w:after="40"/>
              <w:jc w:val="center"/>
              <w:rPr>
                <w:rFonts w:ascii="Arial" w:hAnsi="Arial" w:cs="Arial"/>
                <w:sz w:val="18"/>
                <w:szCs w:val="18"/>
              </w:rPr>
            </w:pPr>
          </w:p>
        </w:tc>
      </w:tr>
      <w:tr w:rsidR="003D07CA" w:rsidRPr="00637580" w14:paraId="69981F28" w14:textId="77777777" w:rsidTr="003E1F68">
        <w:tc>
          <w:tcPr>
            <w:tcW w:w="7020" w:type="dxa"/>
          </w:tcPr>
          <w:p w14:paraId="69981F24" w14:textId="77777777" w:rsidR="003D07CA" w:rsidRPr="00637580" w:rsidRDefault="003D07CA"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Does the provider use the approaches listed in the rule to estimate</w:t>
            </w:r>
            <w:r w:rsidR="00C63BAE">
              <w:rPr>
                <w:rFonts w:ascii="Arial" w:hAnsi="Arial" w:cs="Arial"/>
                <w:sz w:val="18"/>
                <w:szCs w:val="18"/>
              </w:rPr>
              <w:t xml:space="preserve"> the following</w:t>
            </w:r>
            <w:r w:rsidRPr="00637580">
              <w:rPr>
                <w:rFonts w:ascii="Arial" w:hAnsi="Arial" w:cs="Arial"/>
                <w:sz w:val="18"/>
                <w:szCs w:val="18"/>
              </w:rPr>
              <w:t>:</w:t>
            </w:r>
          </w:p>
        </w:tc>
        <w:tc>
          <w:tcPr>
            <w:tcW w:w="660" w:type="dxa"/>
            <w:shd w:val="clear" w:color="auto" w:fill="D9D9D9" w:themeFill="background1" w:themeFillShade="D9"/>
          </w:tcPr>
          <w:p w14:paraId="69981F25"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F26"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D9D9D9" w:themeFill="background1" w:themeFillShade="D9"/>
          </w:tcPr>
          <w:p w14:paraId="69981F27" w14:textId="77777777" w:rsidR="003D07CA" w:rsidRPr="00637580" w:rsidRDefault="003D07CA" w:rsidP="003E1F68">
            <w:pPr>
              <w:spacing w:before="40" w:after="40"/>
              <w:jc w:val="center"/>
              <w:rPr>
                <w:rFonts w:ascii="Arial" w:hAnsi="Arial" w:cs="Arial"/>
                <w:sz w:val="18"/>
                <w:szCs w:val="18"/>
              </w:rPr>
            </w:pPr>
          </w:p>
        </w:tc>
      </w:tr>
      <w:tr w:rsidR="003D07CA" w:rsidRPr="00637580" w14:paraId="69981F2D" w14:textId="77777777" w:rsidTr="003E1F68">
        <w:tc>
          <w:tcPr>
            <w:tcW w:w="7020" w:type="dxa"/>
          </w:tcPr>
          <w:p w14:paraId="69981F29" w14:textId="77777777" w:rsidR="003D07CA" w:rsidRPr="00637580" w:rsidRDefault="00C63BAE" w:rsidP="00525B7F">
            <w:pPr>
              <w:pStyle w:val="ChecklistBullet1"/>
              <w:numPr>
                <w:ilvl w:val="0"/>
                <w:numId w:val="113"/>
              </w:numPr>
              <w:tabs>
                <w:tab w:val="clear" w:pos="3600"/>
                <w:tab w:val="left" w:pos="882"/>
              </w:tabs>
              <w:spacing w:before="40" w:after="40"/>
              <w:ind w:left="882"/>
              <w:rPr>
                <w:rFonts w:ascii="Arial" w:hAnsi="Arial" w:cs="Arial"/>
                <w:sz w:val="18"/>
                <w:szCs w:val="18"/>
              </w:rPr>
            </w:pPr>
            <w:r>
              <w:rPr>
                <w:rFonts w:ascii="Arial" w:hAnsi="Arial" w:cs="Arial"/>
                <w:sz w:val="18"/>
                <w:szCs w:val="18"/>
              </w:rPr>
              <w:t>E</w:t>
            </w:r>
            <w:r w:rsidR="003D07CA" w:rsidRPr="00637580">
              <w:rPr>
                <w:rFonts w:ascii="Arial" w:hAnsi="Arial" w:cs="Arial"/>
                <w:sz w:val="18"/>
                <w:szCs w:val="18"/>
              </w:rPr>
              <w:t>xchange rate; (12 CFR 1005.32(c)(1))</w:t>
            </w:r>
          </w:p>
        </w:tc>
        <w:tc>
          <w:tcPr>
            <w:tcW w:w="660" w:type="dxa"/>
            <w:shd w:val="clear" w:color="auto" w:fill="auto"/>
          </w:tcPr>
          <w:p w14:paraId="69981F2A"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F2B"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F2C" w14:textId="77777777" w:rsidR="003D07CA" w:rsidRPr="00637580" w:rsidRDefault="003D07CA" w:rsidP="003E1F68">
            <w:pPr>
              <w:spacing w:before="40" w:after="40"/>
              <w:jc w:val="center"/>
              <w:rPr>
                <w:rFonts w:ascii="Arial" w:hAnsi="Arial" w:cs="Arial"/>
                <w:sz w:val="18"/>
                <w:szCs w:val="18"/>
              </w:rPr>
            </w:pPr>
          </w:p>
        </w:tc>
      </w:tr>
      <w:tr w:rsidR="003D07CA" w:rsidRPr="00637580" w14:paraId="69981F32" w14:textId="77777777" w:rsidTr="003E1F68">
        <w:tc>
          <w:tcPr>
            <w:tcW w:w="7020" w:type="dxa"/>
          </w:tcPr>
          <w:p w14:paraId="69981F2E" w14:textId="77777777" w:rsidR="003D07CA" w:rsidRPr="00637580" w:rsidRDefault="00C63BAE" w:rsidP="00525B7F">
            <w:pPr>
              <w:pStyle w:val="ChecklistBullet1"/>
              <w:numPr>
                <w:ilvl w:val="0"/>
                <w:numId w:val="113"/>
              </w:numPr>
              <w:tabs>
                <w:tab w:val="clear" w:pos="3600"/>
                <w:tab w:val="left" w:pos="882"/>
              </w:tabs>
              <w:spacing w:before="40" w:after="40"/>
              <w:ind w:left="882"/>
              <w:rPr>
                <w:rFonts w:ascii="Arial" w:hAnsi="Arial" w:cs="Arial"/>
                <w:sz w:val="18"/>
                <w:szCs w:val="18"/>
              </w:rPr>
            </w:pPr>
            <w:r>
              <w:rPr>
                <w:rFonts w:ascii="Arial" w:hAnsi="Arial" w:cs="Arial"/>
                <w:sz w:val="18"/>
                <w:szCs w:val="18"/>
              </w:rPr>
              <w:t>T</w:t>
            </w:r>
            <w:r w:rsidR="003D07CA" w:rsidRPr="00637580">
              <w:rPr>
                <w:rFonts w:ascii="Arial" w:hAnsi="Arial" w:cs="Arial"/>
                <w:sz w:val="18"/>
                <w:szCs w:val="18"/>
              </w:rPr>
              <w:t>ransfer amount in which funds will be received; (12</w:t>
            </w:r>
            <w:r w:rsidR="003D07CA">
              <w:rPr>
                <w:rFonts w:ascii="Arial" w:hAnsi="Arial" w:cs="Arial"/>
                <w:sz w:val="18"/>
                <w:szCs w:val="18"/>
              </w:rPr>
              <w:t> </w:t>
            </w:r>
            <w:r w:rsidR="003D07CA" w:rsidRPr="007C7C6F">
              <w:rPr>
                <w:rFonts w:ascii="Arial" w:hAnsi="Arial" w:cs="Arial"/>
                <w:sz w:val="18"/>
                <w:szCs w:val="18"/>
              </w:rPr>
              <w:t>CFR</w:t>
            </w:r>
            <w:r w:rsidR="003D07CA">
              <w:rPr>
                <w:rFonts w:ascii="Arial" w:hAnsi="Arial" w:cs="Arial"/>
                <w:sz w:val="18"/>
                <w:szCs w:val="18"/>
              </w:rPr>
              <w:t> </w:t>
            </w:r>
            <w:r w:rsidR="003D07CA" w:rsidRPr="007C7C6F">
              <w:rPr>
                <w:rFonts w:ascii="Arial" w:hAnsi="Arial" w:cs="Arial"/>
                <w:sz w:val="18"/>
                <w:szCs w:val="18"/>
              </w:rPr>
              <w:t>1005.32(c)(2))</w:t>
            </w:r>
          </w:p>
        </w:tc>
        <w:tc>
          <w:tcPr>
            <w:tcW w:w="660" w:type="dxa"/>
            <w:shd w:val="clear" w:color="auto" w:fill="auto"/>
          </w:tcPr>
          <w:p w14:paraId="69981F2F"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F30"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F31" w14:textId="77777777" w:rsidR="003D07CA" w:rsidRPr="00637580" w:rsidRDefault="003D07CA" w:rsidP="003E1F68">
            <w:pPr>
              <w:spacing w:before="40" w:after="40"/>
              <w:jc w:val="center"/>
              <w:rPr>
                <w:rFonts w:ascii="Arial" w:hAnsi="Arial" w:cs="Arial"/>
                <w:sz w:val="18"/>
                <w:szCs w:val="18"/>
              </w:rPr>
            </w:pPr>
          </w:p>
        </w:tc>
      </w:tr>
      <w:tr w:rsidR="003D07CA" w:rsidRPr="00637580" w14:paraId="69981F37" w14:textId="77777777" w:rsidTr="003E1F68">
        <w:tc>
          <w:tcPr>
            <w:tcW w:w="7020" w:type="dxa"/>
          </w:tcPr>
          <w:p w14:paraId="69981F33" w14:textId="77777777" w:rsidR="003D07CA" w:rsidRPr="00637580" w:rsidRDefault="00C63BAE" w:rsidP="00525B7F">
            <w:pPr>
              <w:pStyle w:val="ChecklistBullet1"/>
              <w:numPr>
                <w:ilvl w:val="0"/>
                <w:numId w:val="113"/>
              </w:numPr>
              <w:tabs>
                <w:tab w:val="clear" w:pos="3600"/>
                <w:tab w:val="left" w:pos="882"/>
              </w:tabs>
              <w:spacing w:before="40" w:after="40"/>
              <w:ind w:left="882"/>
              <w:rPr>
                <w:rFonts w:ascii="Arial" w:hAnsi="Arial" w:cs="Arial"/>
                <w:sz w:val="18"/>
                <w:szCs w:val="18"/>
              </w:rPr>
            </w:pPr>
            <w:r>
              <w:rPr>
                <w:rFonts w:ascii="Arial" w:hAnsi="Arial" w:cs="Arial"/>
                <w:sz w:val="18"/>
                <w:szCs w:val="18"/>
              </w:rPr>
              <w:t>C</w:t>
            </w:r>
            <w:r w:rsidR="00814A7F">
              <w:rPr>
                <w:rFonts w:ascii="Arial" w:hAnsi="Arial" w:cs="Arial"/>
                <w:sz w:val="18"/>
                <w:szCs w:val="18"/>
              </w:rPr>
              <w:t>overed third-</w:t>
            </w:r>
            <w:r w:rsidR="003D07CA" w:rsidRPr="00637580">
              <w:rPr>
                <w:rFonts w:ascii="Arial" w:hAnsi="Arial" w:cs="Arial"/>
                <w:sz w:val="18"/>
                <w:szCs w:val="18"/>
              </w:rPr>
              <w:t>party fees; and (12 CFR 1005.32(c)(3))</w:t>
            </w:r>
          </w:p>
        </w:tc>
        <w:tc>
          <w:tcPr>
            <w:tcW w:w="660" w:type="dxa"/>
            <w:shd w:val="clear" w:color="auto" w:fill="auto"/>
          </w:tcPr>
          <w:p w14:paraId="69981F34"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F35"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F36" w14:textId="77777777" w:rsidR="003D07CA" w:rsidRPr="00637580" w:rsidRDefault="003D07CA" w:rsidP="003E1F68">
            <w:pPr>
              <w:spacing w:before="40" w:after="40"/>
              <w:jc w:val="center"/>
              <w:rPr>
                <w:rFonts w:ascii="Arial" w:hAnsi="Arial" w:cs="Arial"/>
                <w:sz w:val="18"/>
                <w:szCs w:val="18"/>
              </w:rPr>
            </w:pPr>
          </w:p>
        </w:tc>
      </w:tr>
      <w:tr w:rsidR="003D07CA" w:rsidRPr="00637580" w14:paraId="69981F3C" w14:textId="77777777" w:rsidTr="003E1F68">
        <w:tc>
          <w:tcPr>
            <w:tcW w:w="7020" w:type="dxa"/>
          </w:tcPr>
          <w:p w14:paraId="69981F38" w14:textId="77777777" w:rsidR="003D07CA" w:rsidRPr="00637580" w:rsidRDefault="00C63BAE" w:rsidP="00525B7F">
            <w:pPr>
              <w:pStyle w:val="ChecklistBullet1"/>
              <w:numPr>
                <w:ilvl w:val="0"/>
                <w:numId w:val="113"/>
              </w:numPr>
              <w:tabs>
                <w:tab w:val="clear" w:pos="3600"/>
                <w:tab w:val="left" w:pos="882"/>
              </w:tabs>
              <w:spacing w:before="40" w:after="40"/>
              <w:ind w:left="882"/>
              <w:rPr>
                <w:rFonts w:ascii="Arial" w:hAnsi="Arial" w:cs="Arial"/>
                <w:sz w:val="18"/>
                <w:szCs w:val="18"/>
              </w:rPr>
            </w:pPr>
            <w:r>
              <w:rPr>
                <w:rFonts w:ascii="Arial" w:hAnsi="Arial" w:cs="Arial"/>
                <w:sz w:val="18"/>
                <w:szCs w:val="18"/>
              </w:rPr>
              <w:t>T</w:t>
            </w:r>
            <w:r w:rsidR="003D07CA" w:rsidRPr="00637580">
              <w:rPr>
                <w:rFonts w:ascii="Arial" w:hAnsi="Arial" w:cs="Arial"/>
                <w:sz w:val="18"/>
                <w:szCs w:val="18"/>
              </w:rPr>
              <w:t>he amount of currency that will be received by the designated recipient? (12 CFR 1005.32(c)(4))</w:t>
            </w:r>
          </w:p>
        </w:tc>
        <w:tc>
          <w:tcPr>
            <w:tcW w:w="660" w:type="dxa"/>
            <w:shd w:val="clear" w:color="auto" w:fill="auto"/>
          </w:tcPr>
          <w:p w14:paraId="69981F39"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F3A" w14:textId="77777777" w:rsidR="003D07CA" w:rsidRPr="00637580" w:rsidRDefault="003D07CA" w:rsidP="003E1F68">
            <w:pPr>
              <w:spacing w:before="40" w:after="40"/>
              <w:jc w:val="center"/>
              <w:rPr>
                <w:rFonts w:ascii="Arial" w:hAnsi="Arial" w:cs="Arial"/>
                <w:sz w:val="18"/>
                <w:szCs w:val="18"/>
              </w:rPr>
            </w:pPr>
          </w:p>
        </w:tc>
        <w:tc>
          <w:tcPr>
            <w:tcW w:w="660" w:type="dxa"/>
            <w:shd w:val="clear" w:color="auto" w:fill="auto"/>
          </w:tcPr>
          <w:p w14:paraId="69981F3B" w14:textId="77777777" w:rsidR="003D07CA" w:rsidRPr="00637580" w:rsidRDefault="003D07CA" w:rsidP="003E1F68">
            <w:pPr>
              <w:spacing w:before="40" w:after="40"/>
              <w:jc w:val="center"/>
              <w:rPr>
                <w:rFonts w:ascii="Arial" w:hAnsi="Arial" w:cs="Arial"/>
                <w:sz w:val="18"/>
                <w:szCs w:val="18"/>
              </w:rPr>
            </w:pPr>
          </w:p>
        </w:tc>
      </w:tr>
      <w:tr w:rsidR="003D07CA" w:rsidRPr="00637580" w14:paraId="69981F41" w14:textId="77777777" w:rsidTr="003E1F68">
        <w:tc>
          <w:tcPr>
            <w:tcW w:w="7020" w:type="dxa"/>
            <w:tcBorders>
              <w:bottom w:val="single" w:sz="4" w:space="0" w:color="auto"/>
            </w:tcBorders>
          </w:tcPr>
          <w:p w14:paraId="69981F3D" w14:textId="77777777" w:rsidR="003D07CA" w:rsidRPr="00637580" w:rsidRDefault="003D07CA" w:rsidP="00525B7F">
            <w:pPr>
              <w:pStyle w:val="ChecklistBullet1"/>
              <w:numPr>
                <w:ilvl w:val="0"/>
                <w:numId w:val="99"/>
              </w:numPr>
              <w:tabs>
                <w:tab w:val="clear" w:pos="3600"/>
              </w:tabs>
              <w:spacing w:before="40" w:after="40"/>
              <w:ind w:left="522" w:hanging="540"/>
              <w:rPr>
                <w:rFonts w:ascii="Arial" w:hAnsi="Arial" w:cs="Arial"/>
                <w:sz w:val="18"/>
                <w:szCs w:val="18"/>
              </w:rPr>
            </w:pPr>
            <w:r w:rsidRPr="00637580">
              <w:rPr>
                <w:rFonts w:ascii="Arial" w:hAnsi="Arial" w:cs="Arial"/>
                <w:sz w:val="18"/>
                <w:szCs w:val="18"/>
              </w:rPr>
              <w:t>If estimates are based on an approach that is not one of the listed bases, does the designated recipient receive the same, or greater, amount of funds than the remittance transfer provider disclosed? (12 CFR 1005.32(c)</w:t>
            </w:r>
            <w:r w:rsidR="00D017D9">
              <w:rPr>
                <w:rFonts w:ascii="Arial" w:hAnsi="Arial" w:cs="Arial"/>
                <w:sz w:val="18"/>
                <w:szCs w:val="18"/>
              </w:rPr>
              <w:t>)</w:t>
            </w:r>
          </w:p>
        </w:tc>
        <w:tc>
          <w:tcPr>
            <w:tcW w:w="660" w:type="dxa"/>
            <w:tcBorders>
              <w:bottom w:val="single" w:sz="4" w:space="0" w:color="auto"/>
            </w:tcBorders>
            <w:shd w:val="clear" w:color="auto" w:fill="auto"/>
          </w:tcPr>
          <w:p w14:paraId="69981F3E"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F3F" w14:textId="77777777" w:rsidR="003D07CA" w:rsidRPr="00637580" w:rsidRDefault="003D07CA" w:rsidP="003E1F68">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F40" w14:textId="77777777" w:rsidR="003D07CA" w:rsidRPr="00637580" w:rsidRDefault="003D07CA" w:rsidP="003E1F68">
            <w:pPr>
              <w:spacing w:before="40" w:after="40"/>
              <w:jc w:val="center"/>
              <w:rPr>
                <w:rFonts w:ascii="Arial" w:hAnsi="Arial" w:cs="Arial"/>
                <w:sz w:val="18"/>
                <w:szCs w:val="18"/>
              </w:rPr>
            </w:pPr>
          </w:p>
        </w:tc>
      </w:tr>
    </w:tbl>
    <w:p w14:paraId="69981F42" w14:textId="77777777" w:rsidR="003D07CA" w:rsidRPr="00637580" w:rsidRDefault="003D07CA" w:rsidP="003D07CA">
      <w:pPr>
        <w:rPr>
          <w:rFonts w:ascii="Arial" w:hAnsi="Arial" w:cs="Arial"/>
          <w:sz w:val="18"/>
          <w:szCs w:val="18"/>
        </w:rPr>
      </w:pPr>
      <w:r w:rsidRPr="00637580">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5"/>
        <w:gridCol w:w="15"/>
        <w:gridCol w:w="644"/>
        <w:gridCol w:w="16"/>
        <w:gridCol w:w="643"/>
        <w:gridCol w:w="17"/>
        <w:gridCol w:w="660"/>
      </w:tblGrid>
      <w:tr w:rsidR="003D07CA" w:rsidRPr="00637580" w14:paraId="69981F47" w14:textId="77777777" w:rsidTr="005275B5">
        <w:trPr>
          <w:tblHeader/>
        </w:trPr>
        <w:tc>
          <w:tcPr>
            <w:tcW w:w="7005" w:type="dxa"/>
            <w:shd w:val="clear" w:color="auto" w:fill="auto"/>
          </w:tcPr>
          <w:p w14:paraId="69981F43" w14:textId="77777777" w:rsidR="003D07CA" w:rsidRPr="00691CA2" w:rsidRDefault="003D07CA" w:rsidP="003E1F68">
            <w:pPr>
              <w:spacing w:before="40" w:after="40"/>
              <w:jc w:val="center"/>
              <w:rPr>
                <w:rFonts w:ascii="Arial" w:hAnsi="Arial" w:cs="Arial"/>
                <w:sz w:val="18"/>
                <w:szCs w:val="18"/>
              </w:rPr>
            </w:pPr>
            <w:r w:rsidRPr="00691CA2">
              <w:rPr>
                <w:rFonts w:ascii="Arial" w:hAnsi="Arial" w:cs="Arial"/>
                <w:b/>
                <w:sz w:val="18"/>
                <w:szCs w:val="18"/>
              </w:rPr>
              <w:t>EFTA Worksheet</w:t>
            </w:r>
          </w:p>
        </w:tc>
        <w:tc>
          <w:tcPr>
            <w:tcW w:w="659" w:type="dxa"/>
            <w:gridSpan w:val="2"/>
            <w:shd w:val="clear" w:color="auto" w:fill="auto"/>
          </w:tcPr>
          <w:p w14:paraId="69981F44" w14:textId="77777777" w:rsidR="003D07CA" w:rsidRPr="007C7C6F" w:rsidRDefault="003D07CA" w:rsidP="003E1F68">
            <w:pPr>
              <w:spacing w:before="40" w:after="40"/>
              <w:ind w:left="-78" w:hanging="78"/>
              <w:jc w:val="center"/>
              <w:rPr>
                <w:rFonts w:ascii="Arial" w:hAnsi="Arial" w:cs="Arial"/>
                <w:b/>
                <w:sz w:val="18"/>
                <w:szCs w:val="18"/>
              </w:rPr>
            </w:pPr>
            <w:r w:rsidRPr="007C7C6F">
              <w:rPr>
                <w:rFonts w:ascii="Arial" w:hAnsi="Arial" w:cs="Arial"/>
                <w:b/>
                <w:sz w:val="18"/>
                <w:szCs w:val="18"/>
              </w:rPr>
              <w:t>Yes</w:t>
            </w:r>
          </w:p>
        </w:tc>
        <w:tc>
          <w:tcPr>
            <w:tcW w:w="659" w:type="dxa"/>
            <w:gridSpan w:val="2"/>
            <w:shd w:val="clear" w:color="auto" w:fill="auto"/>
          </w:tcPr>
          <w:p w14:paraId="69981F45"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77" w:type="dxa"/>
            <w:gridSpan w:val="2"/>
            <w:shd w:val="clear" w:color="auto" w:fill="auto"/>
          </w:tcPr>
          <w:p w14:paraId="69981F46" w14:textId="77777777" w:rsidR="003D07CA" w:rsidRPr="00637580" w:rsidRDefault="003D07CA" w:rsidP="003E1F68">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3D07CA" w:rsidRPr="00637580" w14:paraId="69981F4C" w14:textId="77777777" w:rsidTr="005275B5">
        <w:tc>
          <w:tcPr>
            <w:tcW w:w="7005" w:type="dxa"/>
            <w:shd w:val="clear" w:color="auto" w:fill="D9D9D9" w:themeFill="background1" w:themeFillShade="D9"/>
          </w:tcPr>
          <w:p w14:paraId="69981F48" w14:textId="77777777" w:rsidR="003D07CA" w:rsidRPr="00637580" w:rsidRDefault="003D07CA" w:rsidP="003E1F68">
            <w:pPr>
              <w:spacing w:before="40" w:after="40"/>
              <w:rPr>
                <w:rFonts w:ascii="Arial" w:hAnsi="Arial" w:cs="Arial"/>
                <w:sz w:val="18"/>
                <w:szCs w:val="18"/>
              </w:rPr>
            </w:pPr>
            <w:r w:rsidRPr="00637580">
              <w:rPr>
                <w:rFonts w:ascii="Arial" w:hAnsi="Arial" w:cs="Arial"/>
                <w:b/>
                <w:sz w:val="18"/>
                <w:szCs w:val="18"/>
              </w:rPr>
              <w:t>12 CFR 1005.33 – Procedures for Resolving Errors</w:t>
            </w:r>
          </w:p>
        </w:tc>
        <w:tc>
          <w:tcPr>
            <w:tcW w:w="659" w:type="dxa"/>
            <w:gridSpan w:val="2"/>
            <w:shd w:val="clear" w:color="auto" w:fill="D9D9D9" w:themeFill="background1" w:themeFillShade="D9"/>
          </w:tcPr>
          <w:p w14:paraId="69981F49"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D9D9D9" w:themeFill="background1" w:themeFillShade="D9"/>
          </w:tcPr>
          <w:p w14:paraId="69981F4A"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D9D9D9" w:themeFill="background1" w:themeFillShade="D9"/>
          </w:tcPr>
          <w:p w14:paraId="69981F4B" w14:textId="77777777" w:rsidR="003D07CA" w:rsidRPr="00637580" w:rsidRDefault="003D07CA" w:rsidP="003E1F68">
            <w:pPr>
              <w:spacing w:before="40" w:after="40"/>
              <w:jc w:val="center"/>
              <w:rPr>
                <w:rFonts w:ascii="Arial" w:hAnsi="Arial" w:cs="Arial"/>
                <w:sz w:val="18"/>
                <w:szCs w:val="18"/>
              </w:rPr>
            </w:pPr>
          </w:p>
        </w:tc>
      </w:tr>
      <w:tr w:rsidR="003D07CA" w:rsidRPr="00637580" w14:paraId="69981F51" w14:textId="77777777" w:rsidTr="005275B5">
        <w:tc>
          <w:tcPr>
            <w:tcW w:w="7005" w:type="dxa"/>
          </w:tcPr>
          <w:p w14:paraId="69981F4D" w14:textId="77777777" w:rsidR="003D07CA" w:rsidRPr="007C7C6F" w:rsidRDefault="003D07CA"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Does the provider have adequate policies and procedures to address the error resolution requirements applicable to remittance transfers?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1005.33(g))</w:t>
            </w:r>
          </w:p>
        </w:tc>
        <w:tc>
          <w:tcPr>
            <w:tcW w:w="659" w:type="dxa"/>
            <w:gridSpan w:val="2"/>
            <w:shd w:val="clear" w:color="auto" w:fill="auto"/>
          </w:tcPr>
          <w:p w14:paraId="69981F4E"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4F"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50" w14:textId="77777777" w:rsidR="003D07CA" w:rsidRPr="00637580" w:rsidRDefault="003D07CA" w:rsidP="003E1F68">
            <w:pPr>
              <w:spacing w:before="40" w:after="40"/>
              <w:jc w:val="center"/>
              <w:rPr>
                <w:rFonts w:ascii="Arial" w:hAnsi="Arial" w:cs="Arial"/>
                <w:sz w:val="18"/>
                <w:szCs w:val="18"/>
              </w:rPr>
            </w:pPr>
          </w:p>
        </w:tc>
      </w:tr>
      <w:tr w:rsidR="003D07CA" w:rsidRPr="00637580" w14:paraId="69981F56" w14:textId="77777777" w:rsidTr="005275B5">
        <w:tc>
          <w:tcPr>
            <w:tcW w:w="7005" w:type="dxa"/>
          </w:tcPr>
          <w:p w14:paraId="69981F52" w14:textId="77777777" w:rsidR="003D07CA" w:rsidRPr="00637580" w:rsidRDefault="003D07CA"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Do the policies and procedures adequately state what constitutes an error and what does not as defined in 12 CFR 1005.33(a)?</w:t>
            </w:r>
          </w:p>
        </w:tc>
        <w:tc>
          <w:tcPr>
            <w:tcW w:w="659" w:type="dxa"/>
            <w:gridSpan w:val="2"/>
            <w:tcBorders>
              <w:bottom w:val="single" w:sz="4" w:space="0" w:color="auto"/>
            </w:tcBorders>
            <w:shd w:val="clear" w:color="auto" w:fill="auto"/>
          </w:tcPr>
          <w:p w14:paraId="69981F53" w14:textId="77777777" w:rsidR="003D07CA" w:rsidRPr="00637580" w:rsidRDefault="003D07CA" w:rsidP="003E1F68">
            <w:pPr>
              <w:spacing w:before="40" w:after="40"/>
              <w:jc w:val="center"/>
              <w:rPr>
                <w:rFonts w:ascii="Arial" w:hAnsi="Arial" w:cs="Arial"/>
                <w:sz w:val="18"/>
                <w:szCs w:val="18"/>
              </w:rPr>
            </w:pPr>
          </w:p>
        </w:tc>
        <w:tc>
          <w:tcPr>
            <w:tcW w:w="659" w:type="dxa"/>
            <w:gridSpan w:val="2"/>
            <w:tcBorders>
              <w:bottom w:val="single" w:sz="4" w:space="0" w:color="auto"/>
            </w:tcBorders>
            <w:shd w:val="clear" w:color="auto" w:fill="auto"/>
          </w:tcPr>
          <w:p w14:paraId="69981F54" w14:textId="77777777" w:rsidR="003D07CA" w:rsidRPr="00637580" w:rsidRDefault="003D07CA" w:rsidP="003E1F68">
            <w:pPr>
              <w:spacing w:before="40" w:after="40"/>
              <w:jc w:val="center"/>
              <w:rPr>
                <w:rFonts w:ascii="Arial" w:hAnsi="Arial" w:cs="Arial"/>
                <w:sz w:val="18"/>
                <w:szCs w:val="18"/>
              </w:rPr>
            </w:pPr>
          </w:p>
        </w:tc>
        <w:tc>
          <w:tcPr>
            <w:tcW w:w="677" w:type="dxa"/>
            <w:gridSpan w:val="2"/>
            <w:tcBorders>
              <w:bottom w:val="single" w:sz="4" w:space="0" w:color="auto"/>
            </w:tcBorders>
            <w:shd w:val="clear" w:color="auto" w:fill="auto"/>
          </w:tcPr>
          <w:p w14:paraId="69981F55" w14:textId="77777777" w:rsidR="003D07CA" w:rsidRPr="00637580" w:rsidRDefault="003D07CA" w:rsidP="003E1F68">
            <w:pPr>
              <w:spacing w:before="40" w:after="40"/>
              <w:jc w:val="center"/>
              <w:rPr>
                <w:rFonts w:ascii="Arial" w:hAnsi="Arial" w:cs="Arial"/>
                <w:sz w:val="18"/>
                <w:szCs w:val="18"/>
              </w:rPr>
            </w:pPr>
          </w:p>
        </w:tc>
      </w:tr>
      <w:tr w:rsidR="003D07CA" w:rsidRPr="00637580" w14:paraId="69981F5B" w14:textId="77777777" w:rsidTr="005275B5">
        <w:tc>
          <w:tcPr>
            <w:tcW w:w="7005" w:type="dxa"/>
          </w:tcPr>
          <w:p w14:paraId="69981F57" w14:textId="77777777" w:rsidR="003D07CA" w:rsidRPr="00637580" w:rsidRDefault="003D07CA"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Do the policies and procedures specifically address</w:t>
            </w:r>
          </w:p>
        </w:tc>
        <w:tc>
          <w:tcPr>
            <w:tcW w:w="659" w:type="dxa"/>
            <w:gridSpan w:val="2"/>
            <w:shd w:val="clear" w:color="auto" w:fill="D9D9D9" w:themeFill="background1" w:themeFillShade="D9"/>
          </w:tcPr>
          <w:p w14:paraId="69981F58"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D9D9D9" w:themeFill="background1" w:themeFillShade="D9"/>
          </w:tcPr>
          <w:p w14:paraId="69981F59"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D9D9D9" w:themeFill="background1" w:themeFillShade="D9"/>
          </w:tcPr>
          <w:p w14:paraId="69981F5A" w14:textId="77777777" w:rsidR="003D07CA" w:rsidRPr="00637580" w:rsidRDefault="003D07CA" w:rsidP="003E1F68">
            <w:pPr>
              <w:spacing w:before="40" w:after="40"/>
              <w:jc w:val="center"/>
              <w:rPr>
                <w:rFonts w:ascii="Arial" w:hAnsi="Arial" w:cs="Arial"/>
                <w:sz w:val="18"/>
                <w:szCs w:val="18"/>
              </w:rPr>
            </w:pPr>
          </w:p>
        </w:tc>
      </w:tr>
      <w:tr w:rsidR="003D07CA" w:rsidRPr="00637580" w14:paraId="69981F60" w14:textId="77777777" w:rsidTr="005275B5">
        <w:tc>
          <w:tcPr>
            <w:tcW w:w="7005" w:type="dxa"/>
          </w:tcPr>
          <w:p w14:paraId="69981F5C" w14:textId="77777777" w:rsidR="003D07CA" w:rsidRPr="00637580" w:rsidRDefault="003D07CA" w:rsidP="00525B7F">
            <w:pPr>
              <w:pStyle w:val="ChecklistBullet1"/>
              <w:numPr>
                <w:ilvl w:val="0"/>
                <w:numId w:val="114"/>
              </w:numPr>
              <w:tabs>
                <w:tab w:val="clear" w:pos="3600"/>
                <w:tab w:val="left" w:pos="882"/>
              </w:tabs>
              <w:spacing w:before="40" w:after="40"/>
              <w:rPr>
                <w:rFonts w:ascii="Arial" w:hAnsi="Arial" w:cs="Arial"/>
                <w:sz w:val="18"/>
                <w:szCs w:val="18"/>
              </w:rPr>
            </w:pPr>
            <w:r w:rsidRPr="00637580">
              <w:rPr>
                <w:rFonts w:ascii="Arial" w:hAnsi="Arial" w:cs="Arial"/>
                <w:sz w:val="18"/>
                <w:szCs w:val="18"/>
              </w:rPr>
              <w:t>timing and content of the sender’s notice of error;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1005.33(b)(1))</w:t>
            </w:r>
          </w:p>
        </w:tc>
        <w:tc>
          <w:tcPr>
            <w:tcW w:w="659" w:type="dxa"/>
            <w:gridSpan w:val="2"/>
            <w:shd w:val="clear" w:color="auto" w:fill="auto"/>
          </w:tcPr>
          <w:p w14:paraId="69981F5D"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5E"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5F" w14:textId="77777777" w:rsidR="003D07CA" w:rsidRPr="00637580" w:rsidRDefault="003D07CA" w:rsidP="003E1F68">
            <w:pPr>
              <w:spacing w:before="40" w:after="40"/>
              <w:jc w:val="center"/>
              <w:rPr>
                <w:rFonts w:ascii="Arial" w:hAnsi="Arial" w:cs="Arial"/>
                <w:sz w:val="18"/>
                <w:szCs w:val="18"/>
              </w:rPr>
            </w:pPr>
          </w:p>
        </w:tc>
      </w:tr>
      <w:tr w:rsidR="003D07CA" w:rsidRPr="00637580" w14:paraId="69981F65" w14:textId="77777777" w:rsidTr="005275B5">
        <w:tc>
          <w:tcPr>
            <w:tcW w:w="7005" w:type="dxa"/>
          </w:tcPr>
          <w:p w14:paraId="69981F61" w14:textId="77777777" w:rsidR="003D07CA" w:rsidRPr="00637580" w:rsidRDefault="0067036D" w:rsidP="00525B7F">
            <w:pPr>
              <w:pStyle w:val="ChecklistBullet1"/>
              <w:numPr>
                <w:ilvl w:val="0"/>
                <w:numId w:val="114"/>
              </w:numPr>
              <w:tabs>
                <w:tab w:val="clear" w:pos="3600"/>
                <w:tab w:val="left" w:pos="882"/>
              </w:tabs>
              <w:spacing w:before="40" w:after="40"/>
              <w:rPr>
                <w:rFonts w:ascii="Arial" w:hAnsi="Arial" w:cs="Arial"/>
                <w:sz w:val="18"/>
                <w:szCs w:val="18"/>
              </w:rPr>
            </w:pPr>
            <w:r>
              <w:rPr>
                <w:rFonts w:ascii="Arial" w:hAnsi="Arial" w:cs="Arial"/>
                <w:sz w:val="18"/>
                <w:szCs w:val="18"/>
              </w:rPr>
              <w:t>timing when a sender’s notice of error is based on additional documentation, additional information, or clarification that the sender previously requested from the provider</w:t>
            </w:r>
            <w:r w:rsidR="003D07CA" w:rsidRPr="00637580">
              <w:rPr>
                <w:rFonts w:ascii="Arial" w:hAnsi="Arial" w:cs="Arial"/>
                <w:sz w:val="18"/>
                <w:szCs w:val="18"/>
              </w:rPr>
              <w:t>; (12</w:t>
            </w:r>
            <w:r w:rsidR="003D07CA">
              <w:rPr>
                <w:rFonts w:ascii="Arial" w:hAnsi="Arial" w:cs="Arial"/>
                <w:sz w:val="18"/>
                <w:szCs w:val="18"/>
              </w:rPr>
              <w:t> </w:t>
            </w:r>
            <w:r w:rsidR="003D07CA" w:rsidRPr="007C7C6F">
              <w:rPr>
                <w:rFonts w:ascii="Arial" w:hAnsi="Arial" w:cs="Arial"/>
                <w:sz w:val="18"/>
                <w:szCs w:val="18"/>
              </w:rPr>
              <w:t>CFR</w:t>
            </w:r>
            <w:r w:rsidR="003D07CA">
              <w:rPr>
                <w:rFonts w:ascii="Arial" w:hAnsi="Arial" w:cs="Arial"/>
                <w:sz w:val="18"/>
                <w:szCs w:val="18"/>
              </w:rPr>
              <w:t> </w:t>
            </w:r>
            <w:r w:rsidR="003D07CA" w:rsidRPr="007C7C6F">
              <w:rPr>
                <w:rFonts w:ascii="Arial" w:hAnsi="Arial" w:cs="Arial"/>
                <w:sz w:val="18"/>
                <w:szCs w:val="18"/>
              </w:rPr>
              <w:t>1005.33(b)(2))</w:t>
            </w:r>
          </w:p>
        </w:tc>
        <w:tc>
          <w:tcPr>
            <w:tcW w:w="659" w:type="dxa"/>
            <w:gridSpan w:val="2"/>
            <w:shd w:val="clear" w:color="auto" w:fill="auto"/>
          </w:tcPr>
          <w:p w14:paraId="69981F62"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63"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64" w14:textId="77777777" w:rsidR="003D07CA" w:rsidRPr="00637580" w:rsidRDefault="003D07CA" w:rsidP="003E1F68">
            <w:pPr>
              <w:spacing w:before="40" w:after="40"/>
              <w:jc w:val="center"/>
              <w:rPr>
                <w:rFonts w:ascii="Arial" w:hAnsi="Arial" w:cs="Arial"/>
                <w:sz w:val="18"/>
                <w:szCs w:val="18"/>
              </w:rPr>
            </w:pPr>
          </w:p>
        </w:tc>
      </w:tr>
      <w:tr w:rsidR="003D07CA" w:rsidRPr="00637580" w14:paraId="69981F6A" w14:textId="77777777" w:rsidTr="005275B5">
        <w:tc>
          <w:tcPr>
            <w:tcW w:w="7005" w:type="dxa"/>
          </w:tcPr>
          <w:p w14:paraId="69981F66" w14:textId="77777777" w:rsidR="003D07CA" w:rsidRPr="00637580" w:rsidRDefault="003D07CA" w:rsidP="00525B7F">
            <w:pPr>
              <w:pStyle w:val="ChecklistBullet1"/>
              <w:numPr>
                <w:ilvl w:val="0"/>
                <w:numId w:val="114"/>
              </w:numPr>
              <w:tabs>
                <w:tab w:val="clear" w:pos="3600"/>
                <w:tab w:val="left" w:pos="882"/>
              </w:tabs>
              <w:spacing w:before="40" w:after="40"/>
              <w:rPr>
                <w:rFonts w:ascii="Arial" w:hAnsi="Arial" w:cs="Arial"/>
                <w:sz w:val="18"/>
                <w:szCs w:val="18"/>
              </w:rPr>
            </w:pPr>
            <w:r w:rsidRPr="00637580">
              <w:rPr>
                <w:rFonts w:ascii="Arial" w:hAnsi="Arial" w:cs="Arial"/>
                <w:sz w:val="18"/>
                <w:szCs w:val="18"/>
              </w:rPr>
              <w:t>time limits for investigation, reporting results, and correcting an error; (12 CFR 1005.33(c))</w:t>
            </w:r>
          </w:p>
        </w:tc>
        <w:tc>
          <w:tcPr>
            <w:tcW w:w="659" w:type="dxa"/>
            <w:gridSpan w:val="2"/>
            <w:shd w:val="clear" w:color="auto" w:fill="auto"/>
          </w:tcPr>
          <w:p w14:paraId="69981F67"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68"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69" w14:textId="77777777" w:rsidR="003D07CA" w:rsidRPr="00637580" w:rsidRDefault="003D07CA" w:rsidP="003E1F68">
            <w:pPr>
              <w:spacing w:before="40" w:after="40"/>
              <w:jc w:val="center"/>
              <w:rPr>
                <w:rFonts w:ascii="Arial" w:hAnsi="Arial" w:cs="Arial"/>
                <w:sz w:val="18"/>
                <w:szCs w:val="18"/>
              </w:rPr>
            </w:pPr>
          </w:p>
        </w:tc>
      </w:tr>
      <w:tr w:rsidR="003D07CA" w:rsidRPr="00637580" w14:paraId="69981F6F" w14:textId="77777777" w:rsidTr="005275B5">
        <w:tc>
          <w:tcPr>
            <w:tcW w:w="7005" w:type="dxa"/>
          </w:tcPr>
          <w:p w14:paraId="69981F6B" w14:textId="77777777" w:rsidR="003D07CA" w:rsidRPr="00637580" w:rsidRDefault="003D07CA" w:rsidP="00525B7F">
            <w:pPr>
              <w:pStyle w:val="ChecklistBullet1"/>
              <w:numPr>
                <w:ilvl w:val="0"/>
                <w:numId w:val="114"/>
              </w:numPr>
              <w:tabs>
                <w:tab w:val="clear" w:pos="3600"/>
                <w:tab w:val="left" w:pos="882"/>
              </w:tabs>
              <w:spacing w:before="40" w:after="40"/>
              <w:rPr>
                <w:rFonts w:ascii="Arial" w:hAnsi="Arial" w:cs="Arial"/>
                <w:sz w:val="18"/>
                <w:szCs w:val="18"/>
              </w:rPr>
            </w:pPr>
            <w:r w:rsidRPr="00637580">
              <w:rPr>
                <w:rFonts w:ascii="Arial" w:hAnsi="Arial" w:cs="Arial"/>
                <w:sz w:val="18"/>
                <w:szCs w:val="18"/>
              </w:rPr>
              <w:t>sender’s request for documentation that the provider relied on to make a decision; and (12 CFR 1005.33(d)(2))</w:t>
            </w:r>
          </w:p>
        </w:tc>
        <w:tc>
          <w:tcPr>
            <w:tcW w:w="659" w:type="dxa"/>
            <w:gridSpan w:val="2"/>
            <w:shd w:val="clear" w:color="auto" w:fill="auto"/>
          </w:tcPr>
          <w:p w14:paraId="69981F6C"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6D"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6E" w14:textId="77777777" w:rsidR="003D07CA" w:rsidRPr="00637580" w:rsidRDefault="003D07CA" w:rsidP="003E1F68">
            <w:pPr>
              <w:spacing w:before="40" w:after="40"/>
              <w:jc w:val="center"/>
              <w:rPr>
                <w:rFonts w:ascii="Arial" w:hAnsi="Arial" w:cs="Arial"/>
                <w:sz w:val="18"/>
                <w:szCs w:val="18"/>
              </w:rPr>
            </w:pPr>
          </w:p>
        </w:tc>
      </w:tr>
      <w:tr w:rsidR="003D07CA" w:rsidRPr="00637580" w14:paraId="69981F74" w14:textId="77777777" w:rsidTr="005275B5">
        <w:tc>
          <w:tcPr>
            <w:tcW w:w="7005" w:type="dxa"/>
          </w:tcPr>
          <w:p w14:paraId="69981F70" w14:textId="77777777" w:rsidR="003D07CA" w:rsidRPr="00637580" w:rsidRDefault="003D07CA" w:rsidP="00525B7F">
            <w:pPr>
              <w:pStyle w:val="ChecklistBullet1"/>
              <w:numPr>
                <w:ilvl w:val="0"/>
                <w:numId w:val="114"/>
              </w:numPr>
              <w:tabs>
                <w:tab w:val="clear" w:pos="3600"/>
                <w:tab w:val="left" w:pos="882"/>
              </w:tabs>
              <w:spacing w:before="40" w:after="40"/>
              <w:rPr>
                <w:rFonts w:ascii="Arial" w:hAnsi="Arial" w:cs="Arial"/>
                <w:sz w:val="18"/>
                <w:szCs w:val="18"/>
              </w:rPr>
            </w:pPr>
            <w:r w:rsidRPr="00637580">
              <w:rPr>
                <w:rFonts w:ascii="Arial" w:hAnsi="Arial" w:cs="Arial"/>
                <w:sz w:val="18"/>
                <w:szCs w:val="18"/>
              </w:rPr>
              <w:t>the retention of records related to error investigations?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1005.33(g)(2) and 12 CFR 1005.13)</w:t>
            </w:r>
          </w:p>
        </w:tc>
        <w:tc>
          <w:tcPr>
            <w:tcW w:w="659" w:type="dxa"/>
            <w:gridSpan w:val="2"/>
            <w:shd w:val="clear" w:color="auto" w:fill="auto"/>
          </w:tcPr>
          <w:p w14:paraId="69981F71"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72"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73" w14:textId="77777777" w:rsidR="003D07CA" w:rsidRPr="00637580" w:rsidRDefault="003D07CA" w:rsidP="003E1F68">
            <w:pPr>
              <w:spacing w:before="40" w:after="40"/>
              <w:jc w:val="center"/>
              <w:rPr>
                <w:rFonts w:ascii="Arial" w:hAnsi="Arial" w:cs="Arial"/>
                <w:sz w:val="18"/>
                <w:szCs w:val="18"/>
              </w:rPr>
            </w:pPr>
          </w:p>
        </w:tc>
      </w:tr>
      <w:tr w:rsidR="003D07CA" w:rsidRPr="00637580" w14:paraId="69981F79" w14:textId="77777777" w:rsidTr="005275B5">
        <w:tc>
          <w:tcPr>
            <w:tcW w:w="7005" w:type="dxa"/>
          </w:tcPr>
          <w:p w14:paraId="69981F75" w14:textId="77777777" w:rsidR="003D07CA" w:rsidRPr="00637580" w:rsidRDefault="003D07CA"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Does the provider complete its investigation of alleged errors and determine whether an error occurred within 90 days of receiving notice of the error? (12</w:t>
            </w:r>
            <w:r w:rsidR="00F23DF3">
              <w:rPr>
                <w:rFonts w:ascii="Arial" w:hAnsi="Arial" w:cs="Arial"/>
                <w:sz w:val="18"/>
                <w:szCs w:val="18"/>
              </w:rPr>
              <w:t> </w:t>
            </w:r>
            <w:r w:rsidRPr="00637580">
              <w:rPr>
                <w:rFonts w:ascii="Arial" w:hAnsi="Arial" w:cs="Arial"/>
                <w:sz w:val="18"/>
                <w:szCs w:val="18"/>
              </w:rPr>
              <w:t>CFR 1005.33(c)(1))</w:t>
            </w:r>
          </w:p>
        </w:tc>
        <w:tc>
          <w:tcPr>
            <w:tcW w:w="659" w:type="dxa"/>
            <w:gridSpan w:val="2"/>
            <w:shd w:val="clear" w:color="auto" w:fill="auto"/>
          </w:tcPr>
          <w:p w14:paraId="69981F76"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77"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78" w14:textId="77777777" w:rsidR="003D07CA" w:rsidRPr="00637580" w:rsidRDefault="003D07CA" w:rsidP="003E1F68">
            <w:pPr>
              <w:spacing w:before="40" w:after="40"/>
              <w:jc w:val="center"/>
              <w:rPr>
                <w:rFonts w:ascii="Arial" w:hAnsi="Arial" w:cs="Arial"/>
                <w:sz w:val="18"/>
                <w:szCs w:val="18"/>
              </w:rPr>
            </w:pPr>
          </w:p>
        </w:tc>
      </w:tr>
      <w:tr w:rsidR="003D07CA" w:rsidRPr="00637580" w14:paraId="69981F80" w14:textId="77777777" w:rsidTr="005275B5">
        <w:tc>
          <w:tcPr>
            <w:tcW w:w="7005" w:type="dxa"/>
          </w:tcPr>
          <w:p w14:paraId="69981F7A" w14:textId="77777777" w:rsidR="003D07CA" w:rsidRPr="00637580" w:rsidRDefault="003D07CA"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 xml:space="preserve">Does the provider report investigation results to the sender within three business days after completing its investigation and include notice of any remedies available for correcting any error determined to have occurred and provide remedy within one business day? (12 CFR 1005.33(c)(1) and (2)) </w:t>
            </w:r>
          </w:p>
          <w:p w14:paraId="69981F7B" w14:textId="77777777" w:rsidR="003D07CA" w:rsidRPr="00637580" w:rsidRDefault="003D07CA" w:rsidP="003E1F68">
            <w:pPr>
              <w:spacing w:before="40" w:after="40"/>
              <w:ind w:left="522"/>
              <w:rPr>
                <w:rFonts w:ascii="Arial" w:hAnsi="Arial" w:cs="Arial"/>
                <w:sz w:val="18"/>
                <w:szCs w:val="18"/>
              </w:rPr>
            </w:pPr>
          </w:p>
          <w:p w14:paraId="69981F7C" w14:textId="77777777" w:rsidR="003D07CA" w:rsidRPr="00637580" w:rsidRDefault="003D07CA" w:rsidP="003E1F68">
            <w:pPr>
              <w:pStyle w:val="CommentText"/>
              <w:spacing w:before="40" w:after="40"/>
              <w:ind w:left="522"/>
              <w:rPr>
                <w:rFonts w:ascii="Arial" w:hAnsi="Arial" w:cs="Arial"/>
                <w:sz w:val="18"/>
                <w:szCs w:val="18"/>
              </w:rPr>
            </w:pPr>
            <w:r w:rsidRPr="00637580">
              <w:rPr>
                <w:rStyle w:val="CommentReference"/>
                <w:rFonts w:ascii="Arial" w:hAnsi="Arial" w:cs="Arial"/>
                <w:b/>
                <w:sz w:val="18"/>
                <w:szCs w:val="18"/>
              </w:rPr>
              <w:t>Note:</w:t>
            </w:r>
            <w:r w:rsidRPr="00637580">
              <w:rPr>
                <w:rStyle w:val="CommentReference"/>
                <w:rFonts w:ascii="Arial" w:hAnsi="Arial" w:cs="Arial"/>
                <w:sz w:val="18"/>
                <w:szCs w:val="18"/>
              </w:rPr>
              <w:t xml:space="preserve"> The provider can ask the sender to </w:t>
            </w:r>
            <w:r w:rsidRPr="00637580">
              <w:rPr>
                <w:rFonts w:ascii="Arial" w:hAnsi="Arial" w:cs="Arial"/>
                <w:sz w:val="18"/>
                <w:szCs w:val="18"/>
              </w:rPr>
              <w:t>designate a preferred remedy at the time the sender provides notice of the error but must indicate that a resend remedy may be unavailable if the error occurred because the sender provided incorrect or insufficient information</w:t>
            </w:r>
            <w:r w:rsidRPr="00637580">
              <w:rPr>
                <w:rStyle w:val="CommentReference"/>
                <w:rFonts w:ascii="Arial" w:hAnsi="Arial" w:cs="Arial"/>
                <w:sz w:val="18"/>
                <w:szCs w:val="18"/>
              </w:rPr>
              <w:t>.</w:t>
            </w:r>
          </w:p>
        </w:tc>
        <w:tc>
          <w:tcPr>
            <w:tcW w:w="659" w:type="dxa"/>
            <w:gridSpan w:val="2"/>
            <w:shd w:val="clear" w:color="auto" w:fill="auto"/>
          </w:tcPr>
          <w:p w14:paraId="69981F7D"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7E"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7F" w14:textId="77777777" w:rsidR="003D07CA" w:rsidRPr="00637580" w:rsidRDefault="003D07CA" w:rsidP="003E1F68">
            <w:pPr>
              <w:spacing w:before="40" w:after="40"/>
              <w:jc w:val="center"/>
              <w:rPr>
                <w:rFonts w:ascii="Arial" w:hAnsi="Arial" w:cs="Arial"/>
                <w:sz w:val="18"/>
                <w:szCs w:val="18"/>
              </w:rPr>
            </w:pPr>
          </w:p>
        </w:tc>
      </w:tr>
      <w:tr w:rsidR="003D07CA" w:rsidRPr="00637580" w14:paraId="69981F85" w14:textId="77777777" w:rsidTr="005275B5">
        <w:tc>
          <w:tcPr>
            <w:tcW w:w="7005" w:type="dxa"/>
          </w:tcPr>
          <w:p w14:paraId="69981F81" w14:textId="77777777" w:rsidR="003D07CA" w:rsidRPr="007C7C6F" w:rsidRDefault="003D07CA"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If the sender provided an incorrect account number or recipient institution identifier, does the provider comply with the requirements of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1005.33(h) in dete</w:t>
            </w:r>
            <w:r w:rsidRPr="00637580">
              <w:rPr>
                <w:rFonts w:ascii="Arial" w:hAnsi="Arial" w:cs="Arial"/>
                <w:sz w:val="18"/>
                <w:szCs w:val="18"/>
              </w:rPr>
              <w:t>rmining that the exception applies? (see also</w:t>
            </w:r>
            <w:r w:rsidRPr="00691CA2">
              <w:rPr>
                <w:rFonts w:ascii="Arial" w:hAnsi="Arial" w:cs="Arial"/>
                <w:sz w:val="18"/>
                <w:szCs w:val="18"/>
              </w:rPr>
              <w:t xml:space="preserve">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1005.33(a)(1)(iv)(D))</w:t>
            </w:r>
          </w:p>
        </w:tc>
        <w:tc>
          <w:tcPr>
            <w:tcW w:w="659" w:type="dxa"/>
            <w:gridSpan w:val="2"/>
            <w:shd w:val="clear" w:color="auto" w:fill="auto"/>
          </w:tcPr>
          <w:p w14:paraId="69981F82"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83"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84" w14:textId="77777777" w:rsidR="003D07CA" w:rsidRPr="00637580" w:rsidRDefault="003D07CA" w:rsidP="003E1F68">
            <w:pPr>
              <w:spacing w:before="40" w:after="40"/>
              <w:jc w:val="center"/>
              <w:rPr>
                <w:rFonts w:ascii="Arial" w:hAnsi="Arial" w:cs="Arial"/>
                <w:sz w:val="18"/>
                <w:szCs w:val="18"/>
              </w:rPr>
            </w:pPr>
          </w:p>
        </w:tc>
      </w:tr>
      <w:tr w:rsidR="003D07CA" w:rsidRPr="00637580" w14:paraId="69981F8A" w14:textId="77777777" w:rsidTr="005275B5">
        <w:tc>
          <w:tcPr>
            <w:tcW w:w="7005" w:type="dxa"/>
          </w:tcPr>
          <w:p w14:paraId="69981F86" w14:textId="77777777" w:rsidR="003D07CA" w:rsidRPr="00637580" w:rsidRDefault="003D07CA"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If the provider determines that no error or a different error occurred, does it provide a written explanation of the findings and note the sender’s right to request the documents upon which the provider relied in making its determination? (12 CFR 1005.33(d))</w:t>
            </w:r>
          </w:p>
        </w:tc>
        <w:tc>
          <w:tcPr>
            <w:tcW w:w="659" w:type="dxa"/>
            <w:gridSpan w:val="2"/>
            <w:shd w:val="clear" w:color="auto" w:fill="auto"/>
          </w:tcPr>
          <w:p w14:paraId="69981F87"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88"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89" w14:textId="77777777" w:rsidR="003D07CA" w:rsidRPr="00637580" w:rsidRDefault="003D07CA" w:rsidP="003E1F68">
            <w:pPr>
              <w:spacing w:before="40" w:after="40"/>
              <w:jc w:val="center"/>
              <w:rPr>
                <w:rFonts w:ascii="Arial" w:hAnsi="Arial" w:cs="Arial"/>
                <w:sz w:val="18"/>
                <w:szCs w:val="18"/>
              </w:rPr>
            </w:pPr>
          </w:p>
        </w:tc>
      </w:tr>
      <w:tr w:rsidR="003D07CA" w:rsidRPr="00637580" w14:paraId="69981F91" w14:textId="77777777" w:rsidTr="005275B5">
        <w:tc>
          <w:tcPr>
            <w:tcW w:w="7005" w:type="dxa"/>
          </w:tcPr>
          <w:p w14:paraId="69981F8B" w14:textId="77777777" w:rsidR="003D07CA" w:rsidRPr="00637580" w:rsidRDefault="003D07CA" w:rsidP="00525B7F">
            <w:pPr>
              <w:numPr>
                <w:ilvl w:val="0"/>
                <w:numId w:val="99"/>
              </w:numPr>
              <w:spacing w:before="40" w:after="40"/>
              <w:ind w:left="522" w:hanging="540"/>
              <w:rPr>
                <w:rFonts w:ascii="Arial" w:hAnsi="Arial" w:cs="Arial"/>
                <w:bCs/>
                <w:sz w:val="18"/>
                <w:szCs w:val="18"/>
              </w:rPr>
            </w:pPr>
            <w:r w:rsidRPr="00637580">
              <w:rPr>
                <w:rFonts w:ascii="Arial" w:hAnsi="Arial" w:cs="Arial"/>
                <w:sz w:val="18"/>
                <w:szCs w:val="18"/>
              </w:rPr>
              <w:t xml:space="preserve">If the provider provides a default remedy, does it correct the error within one business day or as soon as reasonably practicable, after the reasonable time (deemed to be </w:t>
            </w:r>
            <w:r w:rsidR="006A22C4">
              <w:rPr>
                <w:rFonts w:ascii="Arial" w:hAnsi="Arial" w:cs="Arial"/>
                <w:sz w:val="18"/>
                <w:szCs w:val="18"/>
              </w:rPr>
              <w:t>10</w:t>
            </w:r>
            <w:r w:rsidRPr="00637580">
              <w:rPr>
                <w:rFonts w:ascii="Arial" w:hAnsi="Arial" w:cs="Arial"/>
                <w:sz w:val="18"/>
                <w:szCs w:val="18"/>
              </w:rPr>
              <w:t xml:space="preserve"> business days) </w:t>
            </w:r>
            <w:r w:rsidR="0062616D">
              <w:rPr>
                <w:rFonts w:ascii="Arial" w:hAnsi="Arial" w:cs="Arial"/>
                <w:sz w:val="18"/>
                <w:szCs w:val="18"/>
              </w:rPr>
              <w:t>f</w:t>
            </w:r>
            <w:r w:rsidRPr="00637580">
              <w:rPr>
                <w:rFonts w:ascii="Arial" w:hAnsi="Arial" w:cs="Arial"/>
                <w:sz w:val="18"/>
                <w:szCs w:val="18"/>
              </w:rPr>
              <w:t>or the sender to designate the remedy has passed</w:t>
            </w:r>
            <w:r w:rsidRPr="00637580">
              <w:rPr>
                <w:rFonts w:ascii="Arial" w:hAnsi="Arial" w:cs="Arial"/>
                <w:bCs/>
                <w:sz w:val="18"/>
                <w:szCs w:val="18"/>
              </w:rPr>
              <w:t>? (</w:t>
            </w:r>
            <w:r w:rsidR="009762E0">
              <w:rPr>
                <w:rFonts w:ascii="Arial" w:hAnsi="Arial" w:cs="Arial"/>
                <w:bCs/>
                <w:sz w:val="18"/>
                <w:szCs w:val="18"/>
              </w:rPr>
              <w:t xml:space="preserve">staff commentary </w:t>
            </w:r>
            <w:r w:rsidR="0062616D">
              <w:rPr>
                <w:rFonts w:ascii="Arial" w:hAnsi="Arial" w:cs="Arial"/>
                <w:bCs/>
                <w:sz w:val="18"/>
                <w:szCs w:val="18"/>
              </w:rPr>
              <w:t>1005.33(c)-4</w:t>
            </w:r>
            <w:r w:rsidRPr="00637580">
              <w:rPr>
                <w:rFonts w:ascii="Arial" w:hAnsi="Arial" w:cs="Arial"/>
                <w:bCs/>
                <w:sz w:val="18"/>
                <w:szCs w:val="18"/>
              </w:rPr>
              <w:t>)</w:t>
            </w:r>
          </w:p>
          <w:p w14:paraId="69981F8C" w14:textId="77777777" w:rsidR="003D07CA" w:rsidRPr="00637580" w:rsidRDefault="003D07CA" w:rsidP="003E1F68">
            <w:pPr>
              <w:spacing w:before="40" w:after="40"/>
              <w:ind w:left="522"/>
              <w:rPr>
                <w:rFonts w:ascii="Arial" w:hAnsi="Arial" w:cs="Arial"/>
                <w:bCs/>
                <w:sz w:val="18"/>
                <w:szCs w:val="18"/>
              </w:rPr>
            </w:pPr>
          </w:p>
          <w:p w14:paraId="69981F8D" w14:textId="77777777" w:rsidR="003D07CA" w:rsidRPr="00637580" w:rsidRDefault="003D07CA" w:rsidP="003E1F68">
            <w:pPr>
              <w:spacing w:before="40" w:after="40"/>
              <w:ind w:left="522"/>
              <w:rPr>
                <w:rFonts w:ascii="Arial" w:hAnsi="Arial" w:cs="Arial"/>
                <w:sz w:val="18"/>
                <w:szCs w:val="18"/>
              </w:rPr>
            </w:pPr>
            <w:r w:rsidRPr="00637580">
              <w:rPr>
                <w:rFonts w:ascii="Arial" w:hAnsi="Arial" w:cs="Arial"/>
                <w:b/>
                <w:bCs/>
                <w:sz w:val="18"/>
                <w:szCs w:val="18"/>
              </w:rPr>
              <w:t>Note:</w:t>
            </w:r>
            <w:r w:rsidRPr="00637580">
              <w:rPr>
                <w:rFonts w:ascii="Arial" w:hAnsi="Arial" w:cs="Arial"/>
                <w:bCs/>
                <w:sz w:val="18"/>
                <w:szCs w:val="18"/>
              </w:rPr>
              <w:t xml:space="preserve"> A default remedy is not applicable whe</w:t>
            </w:r>
            <w:r w:rsidR="00312354">
              <w:rPr>
                <w:rFonts w:ascii="Arial" w:hAnsi="Arial" w:cs="Arial"/>
                <w:bCs/>
                <w:sz w:val="18"/>
                <w:szCs w:val="18"/>
              </w:rPr>
              <w:t>n</w:t>
            </w:r>
            <w:r w:rsidRPr="00637580">
              <w:rPr>
                <w:rFonts w:ascii="Arial" w:hAnsi="Arial" w:cs="Arial"/>
                <w:bCs/>
                <w:sz w:val="18"/>
                <w:szCs w:val="18"/>
              </w:rPr>
              <w:t xml:space="preserve"> the sender provided incorrect or insufficient information. </w:t>
            </w:r>
          </w:p>
        </w:tc>
        <w:tc>
          <w:tcPr>
            <w:tcW w:w="659" w:type="dxa"/>
            <w:gridSpan w:val="2"/>
            <w:shd w:val="clear" w:color="auto" w:fill="auto"/>
          </w:tcPr>
          <w:p w14:paraId="69981F8E"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8F"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90" w14:textId="77777777" w:rsidR="003D07CA" w:rsidRPr="00637580" w:rsidRDefault="003D07CA" w:rsidP="003E1F68">
            <w:pPr>
              <w:spacing w:before="40" w:after="40"/>
              <w:jc w:val="center"/>
              <w:rPr>
                <w:rFonts w:ascii="Arial" w:hAnsi="Arial" w:cs="Arial"/>
                <w:sz w:val="18"/>
                <w:szCs w:val="18"/>
              </w:rPr>
            </w:pPr>
          </w:p>
        </w:tc>
      </w:tr>
      <w:tr w:rsidR="003D07CA" w:rsidRPr="00637580" w14:paraId="69981F98" w14:textId="77777777" w:rsidTr="005275B5">
        <w:tc>
          <w:tcPr>
            <w:tcW w:w="7005" w:type="dxa"/>
          </w:tcPr>
          <w:p w14:paraId="69981F92" w14:textId="77777777" w:rsidR="003D07CA" w:rsidRPr="00637580" w:rsidRDefault="003D07CA"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If the sender requests a refund (for errors other than those related to failure to deliver by the disclosed date whe</w:t>
            </w:r>
            <w:r w:rsidR="00312354">
              <w:rPr>
                <w:rFonts w:ascii="Arial" w:hAnsi="Arial" w:cs="Arial"/>
                <w:sz w:val="18"/>
                <w:szCs w:val="18"/>
              </w:rPr>
              <w:t>n</w:t>
            </w:r>
            <w:r w:rsidRPr="00637580">
              <w:rPr>
                <w:rFonts w:ascii="Arial" w:hAnsi="Arial" w:cs="Arial"/>
                <w:sz w:val="18"/>
                <w:szCs w:val="18"/>
              </w:rPr>
              <w:t xml:space="preserve"> the sender provided incorrect or insufficient information), does the provider refund within one business day or as soon as reasonably practicable thereafter? (12 CFR 1005.33(c)(2)) </w:t>
            </w:r>
          </w:p>
          <w:p w14:paraId="69981F93" w14:textId="77777777" w:rsidR="003D07CA" w:rsidRPr="00637580" w:rsidRDefault="003D07CA" w:rsidP="003E1F68">
            <w:pPr>
              <w:spacing w:before="40" w:after="40"/>
              <w:ind w:left="522"/>
              <w:rPr>
                <w:rFonts w:ascii="Arial" w:hAnsi="Arial" w:cs="Arial"/>
                <w:sz w:val="18"/>
                <w:szCs w:val="18"/>
              </w:rPr>
            </w:pPr>
          </w:p>
          <w:p w14:paraId="69981F94" w14:textId="77777777" w:rsidR="003D07CA" w:rsidRPr="00637580" w:rsidRDefault="003D07CA" w:rsidP="003E1F68">
            <w:pPr>
              <w:spacing w:before="40" w:after="40"/>
              <w:ind w:left="522"/>
              <w:rPr>
                <w:rFonts w:ascii="Arial" w:hAnsi="Arial" w:cs="Arial"/>
                <w:sz w:val="18"/>
                <w:szCs w:val="18"/>
              </w:rPr>
            </w:pPr>
            <w:r w:rsidRPr="00637580">
              <w:rPr>
                <w:rFonts w:ascii="Arial" w:hAnsi="Arial" w:cs="Arial"/>
                <w:b/>
                <w:sz w:val="18"/>
                <w:szCs w:val="18"/>
              </w:rPr>
              <w:t xml:space="preserve">Note: </w:t>
            </w:r>
            <w:r w:rsidRPr="00637580">
              <w:rPr>
                <w:rFonts w:ascii="Arial" w:hAnsi="Arial" w:cs="Arial"/>
                <w:sz w:val="18"/>
                <w:szCs w:val="18"/>
              </w:rPr>
              <w:t xml:space="preserve">The </w:t>
            </w:r>
            <w:r w:rsidRPr="00637580">
              <w:rPr>
                <w:rFonts w:ascii="Arial" w:hAnsi="Arial" w:cs="Arial"/>
                <w:bCs/>
                <w:sz w:val="18"/>
                <w:szCs w:val="18"/>
              </w:rPr>
              <w:t xml:space="preserve">provider may generally, at its discretion, issue a refund either in cash or in the same form of payment that was initially provided by the sender for the remittance transfer. </w:t>
            </w:r>
          </w:p>
        </w:tc>
        <w:tc>
          <w:tcPr>
            <w:tcW w:w="659" w:type="dxa"/>
            <w:gridSpan w:val="2"/>
            <w:shd w:val="clear" w:color="auto" w:fill="auto"/>
          </w:tcPr>
          <w:p w14:paraId="69981F95" w14:textId="77777777" w:rsidR="003D07CA" w:rsidRPr="00637580" w:rsidRDefault="003D07CA" w:rsidP="003E1F68">
            <w:pPr>
              <w:spacing w:before="40" w:after="40"/>
              <w:jc w:val="center"/>
              <w:rPr>
                <w:rFonts w:ascii="Arial" w:hAnsi="Arial" w:cs="Arial"/>
                <w:sz w:val="18"/>
                <w:szCs w:val="18"/>
              </w:rPr>
            </w:pPr>
          </w:p>
        </w:tc>
        <w:tc>
          <w:tcPr>
            <w:tcW w:w="659" w:type="dxa"/>
            <w:gridSpan w:val="2"/>
            <w:shd w:val="clear" w:color="auto" w:fill="auto"/>
          </w:tcPr>
          <w:p w14:paraId="69981F96" w14:textId="77777777" w:rsidR="003D07CA" w:rsidRPr="00637580" w:rsidRDefault="003D07CA" w:rsidP="003E1F68">
            <w:pPr>
              <w:spacing w:before="40" w:after="40"/>
              <w:jc w:val="center"/>
              <w:rPr>
                <w:rFonts w:ascii="Arial" w:hAnsi="Arial" w:cs="Arial"/>
                <w:sz w:val="18"/>
                <w:szCs w:val="18"/>
              </w:rPr>
            </w:pPr>
          </w:p>
        </w:tc>
        <w:tc>
          <w:tcPr>
            <w:tcW w:w="677" w:type="dxa"/>
            <w:gridSpan w:val="2"/>
            <w:shd w:val="clear" w:color="auto" w:fill="auto"/>
          </w:tcPr>
          <w:p w14:paraId="69981F97" w14:textId="77777777" w:rsidR="003D07CA" w:rsidRPr="00637580" w:rsidRDefault="003D07CA" w:rsidP="003E1F68">
            <w:pPr>
              <w:spacing w:before="40" w:after="40"/>
              <w:jc w:val="center"/>
              <w:rPr>
                <w:rFonts w:ascii="Arial" w:hAnsi="Arial" w:cs="Arial"/>
                <w:sz w:val="18"/>
                <w:szCs w:val="18"/>
              </w:rPr>
            </w:pPr>
          </w:p>
        </w:tc>
      </w:tr>
      <w:tr w:rsidR="001259EE" w:rsidRPr="00637580" w14:paraId="69981F9D" w14:textId="77777777" w:rsidTr="005275B5">
        <w:tc>
          <w:tcPr>
            <w:tcW w:w="7020" w:type="dxa"/>
            <w:gridSpan w:val="2"/>
          </w:tcPr>
          <w:p w14:paraId="69981F99" w14:textId="77777777" w:rsidR="001259EE" w:rsidRPr="00637580" w:rsidRDefault="001259EE" w:rsidP="004E5E50">
            <w:pPr>
              <w:numPr>
                <w:ilvl w:val="0"/>
                <w:numId w:val="99"/>
              </w:numPr>
              <w:spacing w:before="40" w:after="40"/>
              <w:ind w:left="522" w:hanging="522"/>
              <w:rPr>
                <w:rFonts w:ascii="Arial" w:hAnsi="Arial" w:cs="Arial"/>
                <w:sz w:val="18"/>
                <w:szCs w:val="18"/>
              </w:rPr>
            </w:pPr>
            <w:r w:rsidRPr="00637580">
              <w:rPr>
                <w:rFonts w:ascii="Arial" w:hAnsi="Arial" w:cs="Arial"/>
                <w:sz w:val="18"/>
                <w:szCs w:val="18"/>
              </w:rPr>
              <w:t>If the sender requests delivery of the amount appropriate to correct the error and the error did not occur because the sender provided incorrect or insufficient information, does the provider correct the error within one business day, or as soon as reasonably practicable, applying the same exchange rate, fees, and taxes stated in the disclosure provided in connection with the unsuccessful remittance transfer attempt</w:t>
            </w:r>
            <w:r w:rsidRPr="00637580">
              <w:rPr>
                <w:rFonts w:ascii="Arial" w:hAnsi="Arial" w:cs="Arial"/>
                <w:bCs/>
                <w:sz w:val="18"/>
                <w:szCs w:val="18"/>
              </w:rPr>
              <w:t>?</w:t>
            </w:r>
            <w:r w:rsidRPr="00637580">
              <w:rPr>
                <w:rFonts w:ascii="Arial" w:hAnsi="Arial" w:cs="Arial"/>
                <w:sz w:val="18"/>
                <w:szCs w:val="18"/>
              </w:rPr>
              <w:t xml:space="preserve"> </w:t>
            </w:r>
            <w:r w:rsidRPr="00637580">
              <w:rPr>
                <w:rFonts w:ascii="Arial" w:hAnsi="Arial" w:cs="Arial"/>
                <w:bCs/>
                <w:sz w:val="18"/>
                <w:szCs w:val="18"/>
              </w:rPr>
              <w:t>(12</w:t>
            </w:r>
            <w:r>
              <w:rPr>
                <w:rFonts w:ascii="Arial" w:hAnsi="Arial" w:cs="Arial"/>
                <w:sz w:val="18"/>
                <w:szCs w:val="18"/>
              </w:rPr>
              <w:t> </w:t>
            </w:r>
            <w:r w:rsidRPr="007C7C6F">
              <w:rPr>
                <w:rFonts w:ascii="Arial" w:hAnsi="Arial" w:cs="Arial"/>
                <w:bCs/>
                <w:sz w:val="18"/>
                <w:szCs w:val="18"/>
              </w:rPr>
              <w:t>CFR</w:t>
            </w:r>
            <w:r>
              <w:rPr>
                <w:rFonts w:ascii="Arial" w:hAnsi="Arial" w:cs="Arial"/>
                <w:sz w:val="18"/>
                <w:szCs w:val="18"/>
              </w:rPr>
              <w:t> </w:t>
            </w:r>
            <w:r w:rsidRPr="007C7C6F">
              <w:rPr>
                <w:rFonts w:ascii="Arial" w:hAnsi="Arial" w:cs="Arial"/>
                <w:bCs/>
                <w:sz w:val="18"/>
                <w:szCs w:val="18"/>
              </w:rPr>
              <w:t xml:space="preserve">1005.33(c) and staff commentary </w:t>
            </w:r>
            <w:r>
              <w:rPr>
                <w:rFonts w:ascii="Arial" w:hAnsi="Arial" w:cs="Arial"/>
                <w:bCs/>
                <w:sz w:val="18"/>
                <w:szCs w:val="18"/>
              </w:rPr>
              <w:t>1005.</w:t>
            </w:r>
            <w:r w:rsidRPr="007C7C6F">
              <w:rPr>
                <w:rFonts w:ascii="Arial" w:hAnsi="Arial" w:cs="Arial"/>
                <w:bCs/>
                <w:sz w:val="18"/>
                <w:szCs w:val="18"/>
              </w:rPr>
              <w:t>33(c)</w:t>
            </w:r>
            <w:r>
              <w:rPr>
                <w:rFonts w:ascii="Arial" w:hAnsi="Arial" w:cs="Arial"/>
                <w:bCs/>
                <w:sz w:val="18"/>
                <w:szCs w:val="18"/>
              </w:rPr>
              <w:t>–</w:t>
            </w:r>
            <w:r w:rsidRPr="007C7C6F">
              <w:rPr>
                <w:rFonts w:ascii="Arial" w:hAnsi="Arial" w:cs="Arial"/>
                <w:bCs/>
                <w:sz w:val="18"/>
                <w:szCs w:val="18"/>
              </w:rPr>
              <w:t>3)</w:t>
            </w:r>
          </w:p>
        </w:tc>
        <w:tc>
          <w:tcPr>
            <w:tcW w:w="660" w:type="dxa"/>
            <w:gridSpan w:val="2"/>
            <w:shd w:val="clear" w:color="auto" w:fill="auto"/>
          </w:tcPr>
          <w:p w14:paraId="69981F9A" w14:textId="77777777" w:rsidR="001259EE" w:rsidRPr="00637580" w:rsidRDefault="001259EE" w:rsidP="004E5E50">
            <w:pPr>
              <w:spacing w:before="40" w:after="40"/>
              <w:jc w:val="center"/>
              <w:rPr>
                <w:rFonts w:ascii="Arial" w:hAnsi="Arial" w:cs="Arial"/>
                <w:sz w:val="18"/>
                <w:szCs w:val="18"/>
              </w:rPr>
            </w:pPr>
          </w:p>
        </w:tc>
        <w:tc>
          <w:tcPr>
            <w:tcW w:w="660" w:type="dxa"/>
            <w:gridSpan w:val="2"/>
            <w:shd w:val="clear" w:color="auto" w:fill="auto"/>
          </w:tcPr>
          <w:p w14:paraId="69981F9B" w14:textId="77777777" w:rsidR="001259EE" w:rsidRPr="00637580" w:rsidRDefault="001259EE" w:rsidP="004E5E50">
            <w:pPr>
              <w:spacing w:before="40" w:after="40"/>
              <w:jc w:val="center"/>
              <w:rPr>
                <w:rFonts w:ascii="Arial" w:hAnsi="Arial" w:cs="Arial"/>
                <w:sz w:val="18"/>
                <w:szCs w:val="18"/>
              </w:rPr>
            </w:pPr>
          </w:p>
        </w:tc>
        <w:tc>
          <w:tcPr>
            <w:tcW w:w="660" w:type="dxa"/>
            <w:shd w:val="clear" w:color="auto" w:fill="auto"/>
          </w:tcPr>
          <w:p w14:paraId="69981F9C" w14:textId="77777777" w:rsidR="001259EE" w:rsidRPr="00637580" w:rsidRDefault="001259EE" w:rsidP="004E5E50">
            <w:pPr>
              <w:spacing w:before="40" w:after="40"/>
              <w:jc w:val="center"/>
              <w:rPr>
                <w:rFonts w:ascii="Arial" w:hAnsi="Arial" w:cs="Arial"/>
                <w:sz w:val="18"/>
                <w:szCs w:val="18"/>
              </w:rPr>
            </w:pPr>
          </w:p>
        </w:tc>
      </w:tr>
      <w:tr w:rsidR="001259EE" w:rsidRPr="00637580" w14:paraId="69981FA2" w14:textId="77777777" w:rsidTr="005275B5">
        <w:tc>
          <w:tcPr>
            <w:tcW w:w="7020" w:type="dxa"/>
            <w:gridSpan w:val="2"/>
          </w:tcPr>
          <w:p w14:paraId="69981F9E" w14:textId="77777777" w:rsidR="001259EE" w:rsidRPr="007C7C6F" w:rsidRDefault="001259EE" w:rsidP="004E5E50">
            <w:pPr>
              <w:numPr>
                <w:ilvl w:val="0"/>
                <w:numId w:val="99"/>
              </w:numPr>
              <w:spacing w:before="40" w:after="40"/>
              <w:ind w:left="522" w:hanging="540"/>
              <w:rPr>
                <w:rFonts w:ascii="Arial" w:hAnsi="Arial" w:cs="Arial"/>
                <w:sz w:val="18"/>
                <w:szCs w:val="18"/>
              </w:rPr>
            </w:pPr>
            <w:r w:rsidRPr="00637580">
              <w:rPr>
                <w:rFonts w:ascii="Arial" w:hAnsi="Arial" w:cs="Arial"/>
                <w:sz w:val="18"/>
                <w:szCs w:val="18"/>
              </w:rPr>
              <w:t>In the case of errors involving incorrect or insufficient information provided by the sender for the transfer, does the provider provide the requested documentation, information, or clarification, as required by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 xml:space="preserve">1005.33(c)(2)(iii)? </w:t>
            </w:r>
          </w:p>
        </w:tc>
        <w:tc>
          <w:tcPr>
            <w:tcW w:w="660" w:type="dxa"/>
            <w:gridSpan w:val="2"/>
            <w:shd w:val="clear" w:color="auto" w:fill="auto"/>
          </w:tcPr>
          <w:p w14:paraId="69981F9F" w14:textId="77777777" w:rsidR="001259EE" w:rsidRPr="00637580" w:rsidRDefault="001259EE" w:rsidP="004E5E50">
            <w:pPr>
              <w:spacing w:before="40" w:after="40"/>
              <w:jc w:val="center"/>
              <w:rPr>
                <w:rFonts w:ascii="Arial" w:hAnsi="Arial" w:cs="Arial"/>
                <w:sz w:val="18"/>
                <w:szCs w:val="18"/>
              </w:rPr>
            </w:pPr>
          </w:p>
        </w:tc>
        <w:tc>
          <w:tcPr>
            <w:tcW w:w="660" w:type="dxa"/>
            <w:gridSpan w:val="2"/>
            <w:shd w:val="clear" w:color="auto" w:fill="auto"/>
          </w:tcPr>
          <w:p w14:paraId="69981FA0" w14:textId="77777777" w:rsidR="001259EE" w:rsidRPr="00637580" w:rsidRDefault="001259EE" w:rsidP="004E5E50">
            <w:pPr>
              <w:spacing w:before="40" w:after="40"/>
              <w:jc w:val="center"/>
              <w:rPr>
                <w:rFonts w:ascii="Arial" w:hAnsi="Arial" w:cs="Arial"/>
                <w:sz w:val="18"/>
                <w:szCs w:val="18"/>
              </w:rPr>
            </w:pPr>
          </w:p>
        </w:tc>
        <w:tc>
          <w:tcPr>
            <w:tcW w:w="660" w:type="dxa"/>
            <w:shd w:val="clear" w:color="auto" w:fill="auto"/>
          </w:tcPr>
          <w:p w14:paraId="69981FA1" w14:textId="77777777" w:rsidR="001259EE" w:rsidRPr="00637580" w:rsidRDefault="001259EE" w:rsidP="004E5E50">
            <w:pPr>
              <w:spacing w:before="40" w:after="40"/>
              <w:jc w:val="center"/>
              <w:rPr>
                <w:rFonts w:ascii="Arial" w:hAnsi="Arial" w:cs="Arial"/>
                <w:sz w:val="18"/>
                <w:szCs w:val="18"/>
              </w:rPr>
            </w:pPr>
          </w:p>
        </w:tc>
      </w:tr>
      <w:tr w:rsidR="001259EE" w:rsidRPr="00637580" w14:paraId="69981FB0" w14:textId="77777777" w:rsidTr="005275B5">
        <w:tc>
          <w:tcPr>
            <w:tcW w:w="7020" w:type="dxa"/>
            <w:gridSpan w:val="2"/>
          </w:tcPr>
          <w:p w14:paraId="69981FA3" w14:textId="77777777" w:rsidR="001259EE" w:rsidRPr="00637580" w:rsidRDefault="001259EE" w:rsidP="004E5E50">
            <w:pPr>
              <w:numPr>
                <w:ilvl w:val="0"/>
                <w:numId w:val="99"/>
              </w:numPr>
              <w:spacing w:before="40" w:after="40"/>
              <w:ind w:left="522" w:hanging="522"/>
              <w:rPr>
                <w:rFonts w:ascii="Arial" w:hAnsi="Arial" w:cs="Arial"/>
                <w:bCs/>
                <w:sz w:val="18"/>
                <w:szCs w:val="18"/>
              </w:rPr>
            </w:pPr>
            <w:r w:rsidRPr="00637580">
              <w:rPr>
                <w:rFonts w:ascii="Arial" w:hAnsi="Arial" w:cs="Arial"/>
                <w:sz w:val="18"/>
                <w:szCs w:val="18"/>
              </w:rPr>
              <w:t xml:space="preserve">If the provider determines that an error occurred that </w:t>
            </w:r>
            <w:r w:rsidRPr="00637580">
              <w:rPr>
                <w:rFonts w:ascii="Arial" w:hAnsi="Arial" w:cs="Arial"/>
                <w:bCs/>
                <w:sz w:val="18"/>
                <w:szCs w:val="18"/>
              </w:rPr>
              <w:t>relates to</w:t>
            </w:r>
          </w:p>
          <w:p w14:paraId="69981FA4" w14:textId="77777777" w:rsidR="001259EE" w:rsidRPr="00637580" w:rsidRDefault="001259EE" w:rsidP="004E5E50">
            <w:pPr>
              <w:pStyle w:val="ChecklistBullet1"/>
              <w:numPr>
                <w:ilvl w:val="0"/>
                <w:numId w:val="115"/>
              </w:numPr>
              <w:tabs>
                <w:tab w:val="clear" w:pos="3600"/>
                <w:tab w:val="left" w:pos="882"/>
              </w:tabs>
              <w:spacing w:before="40" w:after="40"/>
              <w:rPr>
                <w:rFonts w:ascii="Arial" w:hAnsi="Arial" w:cs="Arial"/>
                <w:sz w:val="18"/>
                <w:szCs w:val="18"/>
              </w:rPr>
            </w:pPr>
            <w:r w:rsidRPr="00637580">
              <w:rPr>
                <w:rFonts w:ascii="Arial" w:hAnsi="Arial" w:cs="Arial"/>
                <w:sz w:val="18"/>
                <w:szCs w:val="18"/>
              </w:rPr>
              <w:t xml:space="preserve">an incorrect amount paid by the sender; </w:t>
            </w:r>
            <w:r>
              <w:rPr>
                <w:rFonts w:ascii="Arial" w:hAnsi="Arial" w:cs="Arial"/>
                <w:sz w:val="18"/>
                <w:szCs w:val="18"/>
              </w:rPr>
              <w:t>or</w:t>
            </w:r>
          </w:p>
          <w:p w14:paraId="69981FA5" w14:textId="77777777" w:rsidR="001259EE" w:rsidRPr="00637580" w:rsidRDefault="001259EE" w:rsidP="004E5E50">
            <w:pPr>
              <w:pStyle w:val="ChecklistBullet1"/>
              <w:numPr>
                <w:ilvl w:val="0"/>
                <w:numId w:val="115"/>
              </w:numPr>
              <w:tabs>
                <w:tab w:val="clear" w:pos="3600"/>
                <w:tab w:val="left" w:pos="882"/>
              </w:tabs>
              <w:spacing w:before="40" w:after="40"/>
              <w:rPr>
                <w:rFonts w:ascii="Arial" w:hAnsi="Arial" w:cs="Arial"/>
                <w:sz w:val="18"/>
                <w:szCs w:val="18"/>
              </w:rPr>
            </w:pPr>
            <w:r w:rsidRPr="00637580">
              <w:rPr>
                <w:rFonts w:ascii="Arial" w:hAnsi="Arial" w:cs="Arial"/>
                <w:sz w:val="18"/>
                <w:szCs w:val="18"/>
              </w:rPr>
              <w:t xml:space="preserve">a computational or bookkeeping error made by the remittance transfer provider; or </w:t>
            </w:r>
          </w:p>
          <w:p w14:paraId="69981FA6" w14:textId="77777777" w:rsidR="001259EE" w:rsidRPr="00637580" w:rsidRDefault="001259EE" w:rsidP="004E5E50">
            <w:pPr>
              <w:pStyle w:val="ChecklistBullet1"/>
              <w:numPr>
                <w:ilvl w:val="0"/>
                <w:numId w:val="115"/>
              </w:numPr>
              <w:tabs>
                <w:tab w:val="clear" w:pos="3600"/>
                <w:tab w:val="left" w:pos="882"/>
              </w:tabs>
              <w:spacing w:before="40" w:after="40"/>
              <w:rPr>
                <w:rFonts w:ascii="Arial" w:hAnsi="Arial" w:cs="Arial"/>
                <w:sz w:val="18"/>
                <w:szCs w:val="18"/>
              </w:rPr>
            </w:pPr>
            <w:r w:rsidRPr="00637580">
              <w:rPr>
                <w:rFonts w:ascii="Arial" w:hAnsi="Arial" w:cs="Arial"/>
                <w:sz w:val="18"/>
                <w:szCs w:val="18"/>
              </w:rPr>
              <w:t xml:space="preserve">failure to make the amount of currency stated in the disclosures available to the designated recipient, </w:t>
            </w:r>
          </w:p>
          <w:p w14:paraId="69981FA7" w14:textId="77777777" w:rsidR="001259EE" w:rsidRPr="00637580" w:rsidRDefault="001259EE" w:rsidP="004E5E50">
            <w:pPr>
              <w:pStyle w:val="ChecklistBullet1"/>
              <w:numPr>
                <w:ilvl w:val="0"/>
                <w:numId w:val="0"/>
              </w:numPr>
              <w:tabs>
                <w:tab w:val="left" w:pos="882"/>
              </w:tabs>
              <w:spacing w:before="40" w:after="40"/>
              <w:ind w:left="522"/>
              <w:rPr>
                <w:rFonts w:ascii="Arial" w:hAnsi="Arial" w:cs="Arial"/>
                <w:sz w:val="18"/>
                <w:szCs w:val="18"/>
              </w:rPr>
            </w:pPr>
          </w:p>
          <w:p w14:paraId="69981FA8" w14:textId="77777777" w:rsidR="001259EE" w:rsidRPr="00637580" w:rsidRDefault="001259EE" w:rsidP="004E5E50">
            <w:pPr>
              <w:pStyle w:val="ChecklistBullet1"/>
              <w:numPr>
                <w:ilvl w:val="0"/>
                <w:numId w:val="0"/>
              </w:numPr>
              <w:tabs>
                <w:tab w:val="left" w:pos="882"/>
              </w:tabs>
              <w:spacing w:before="40" w:after="40"/>
              <w:ind w:left="522"/>
              <w:rPr>
                <w:rFonts w:ascii="Arial" w:hAnsi="Arial" w:cs="Arial"/>
                <w:sz w:val="18"/>
                <w:szCs w:val="18"/>
              </w:rPr>
            </w:pPr>
            <w:r w:rsidRPr="00637580">
              <w:rPr>
                <w:rFonts w:ascii="Arial" w:hAnsi="Arial" w:cs="Arial"/>
                <w:sz w:val="18"/>
                <w:szCs w:val="18"/>
              </w:rPr>
              <w:t xml:space="preserve">does the provider either </w:t>
            </w:r>
          </w:p>
          <w:p w14:paraId="69981FA9" w14:textId="77777777" w:rsidR="001259EE" w:rsidRPr="00637580" w:rsidRDefault="001259EE" w:rsidP="004E5E50">
            <w:pPr>
              <w:pStyle w:val="ChecklistBullet1"/>
              <w:numPr>
                <w:ilvl w:val="0"/>
                <w:numId w:val="0"/>
              </w:numPr>
              <w:tabs>
                <w:tab w:val="left" w:pos="882"/>
              </w:tabs>
              <w:spacing w:before="40" w:after="40"/>
              <w:ind w:left="522"/>
              <w:rPr>
                <w:rFonts w:ascii="Arial" w:hAnsi="Arial" w:cs="Arial"/>
                <w:sz w:val="18"/>
                <w:szCs w:val="18"/>
              </w:rPr>
            </w:pPr>
          </w:p>
          <w:p w14:paraId="69981FAA" w14:textId="77777777" w:rsidR="001259EE" w:rsidRPr="00637580" w:rsidRDefault="001259EE" w:rsidP="004E5E50">
            <w:pPr>
              <w:pStyle w:val="ChecklistBullet1"/>
              <w:numPr>
                <w:ilvl w:val="0"/>
                <w:numId w:val="115"/>
              </w:numPr>
              <w:tabs>
                <w:tab w:val="clear" w:pos="3600"/>
                <w:tab w:val="left" w:pos="882"/>
              </w:tabs>
              <w:autoSpaceDE w:val="0"/>
              <w:autoSpaceDN w:val="0"/>
              <w:adjustRightInd w:val="0"/>
              <w:spacing w:before="40" w:after="40"/>
              <w:rPr>
                <w:rFonts w:ascii="Arial" w:hAnsi="Arial" w:cs="Arial"/>
                <w:sz w:val="18"/>
                <w:szCs w:val="18"/>
              </w:rPr>
            </w:pPr>
            <w:r w:rsidRPr="00637580">
              <w:rPr>
                <w:rFonts w:ascii="Arial" w:hAnsi="Arial" w:cs="Arial"/>
                <w:sz w:val="18"/>
                <w:szCs w:val="18"/>
              </w:rPr>
              <w:t>refund the amount of funds provided by the sender (in case of a transaction that was not properly transmitted)</w:t>
            </w:r>
            <w:r>
              <w:rPr>
                <w:rFonts w:ascii="Arial" w:hAnsi="Arial" w:cs="Arial"/>
                <w:sz w:val="18"/>
                <w:szCs w:val="18"/>
              </w:rPr>
              <w:t>;</w:t>
            </w:r>
            <w:r w:rsidRPr="00637580">
              <w:rPr>
                <w:rFonts w:ascii="Arial" w:hAnsi="Arial" w:cs="Arial"/>
                <w:sz w:val="18"/>
                <w:szCs w:val="18"/>
              </w:rPr>
              <w:t xml:space="preserve"> </w:t>
            </w:r>
            <w:r>
              <w:rPr>
                <w:rFonts w:ascii="Arial" w:hAnsi="Arial" w:cs="Arial"/>
                <w:sz w:val="18"/>
                <w:szCs w:val="18"/>
              </w:rPr>
              <w:t>or</w:t>
            </w:r>
          </w:p>
          <w:p w14:paraId="69981FAB" w14:textId="77777777" w:rsidR="001259EE" w:rsidRPr="00637580" w:rsidRDefault="001259EE" w:rsidP="004E5E50">
            <w:pPr>
              <w:pStyle w:val="ChecklistBullet1"/>
              <w:numPr>
                <w:ilvl w:val="0"/>
                <w:numId w:val="115"/>
              </w:numPr>
              <w:tabs>
                <w:tab w:val="clear" w:pos="3600"/>
                <w:tab w:val="left" w:pos="882"/>
              </w:tabs>
              <w:autoSpaceDE w:val="0"/>
              <w:autoSpaceDN w:val="0"/>
              <w:adjustRightInd w:val="0"/>
              <w:spacing w:before="40" w:after="40"/>
              <w:rPr>
                <w:rFonts w:ascii="Arial" w:hAnsi="Arial" w:cs="Arial"/>
                <w:sz w:val="18"/>
                <w:szCs w:val="18"/>
              </w:rPr>
            </w:pPr>
            <w:r w:rsidRPr="00637580">
              <w:rPr>
                <w:rFonts w:ascii="Arial" w:hAnsi="Arial" w:cs="Arial"/>
                <w:sz w:val="18"/>
                <w:szCs w:val="18"/>
              </w:rPr>
              <w:t xml:space="preserve">refund the amount appropriate to resolve the error; or </w:t>
            </w:r>
          </w:p>
          <w:p w14:paraId="69981FAC" w14:textId="77777777" w:rsidR="001259EE" w:rsidRPr="00637580" w:rsidRDefault="001259EE" w:rsidP="004E5E50">
            <w:pPr>
              <w:pStyle w:val="ChecklistBullet1"/>
              <w:numPr>
                <w:ilvl w:val="0"/>
                <w:numId w:val="115"/>
              </w:numPr>
              <w:tabs>
                <w:tab w:val="clear" w:pos="3600"/>
                <w:tab w:val="left" w:pos="882"/>
              </w:tabs>
              <w:autoSpaceDE w:val="0"/>
              <w:autoSpaceDN w:val="0"/>
              <w:adjustRightInd w:val="0"/>
              <w:spacing w:before="40" w:after="40"/>
              <w:rPr>
                <w:rFonts w:ascii="Arial" w:hAnsi="Arial" w:cs="Arial"/>
                <w:sz w:val="18"/>
                <w:szCs w:val="18"/>
              </w:rPr>
            </w:pPr>
            <w:r w:rsidRPr="00637580">
              <w:rPr>
                <w:rFonts w:ascii="Arial" w:hAnsi="Arial" w:cs="Arial"/>
                <w:sz w:val="18"/>
                <w:szCs w:val="18"/>
              </w:rPr>
              <w:t>make available to the designated recipient, the amount appropriate to resolve the error without additional cost to the sender or the designated recipient?</w:t>
            </w:r>
            <w:r w:rsidRPr="00637580">
              <w:rPr>
                <w:rFonts w:ascii="Arial" w:hAnsi="Arial" w:cs="Arial"/>
                <w:bCs/>
                <w:sz w:val="18"/>
                <w:szCs w:val="18"/>
              </w:rPr>
              <w:t xml:space="preserve"> (12 CFR 1005.33(c)(2)(i))</w:t>
            </w:r>
          </w:p>
        </w:tc>
        <w:tc>
          <w:tcPr>
            <w:tcW w:w="660" w:type="dxa"/>
            <w:gridSpan w:val="2"/>
            <w:shd w:val="clear" w:color="auto" w:fill="auto"/>
          </w:tcPr>
          <w:p w14:paraId="69981FAD" w14:textId="77777777" w:rsidR="001259EE" w:rsidRPr="00637580" w:rsidRDefault="001259EE" w:rsidP="004E5E50">
            <w:pPr>
              <w:spacing w:before="40" w:after="40"/>
              <w:jc w:val="center"/>
              <w:rPr>
                <w:rFonts w:ascii="Arial" w:hAnsi="Arial" w:cs="Arial"/>
                <w:sz w:val="18"/>
                <w:szCs w:val="18"/>
              </w:rPr>
            </w:pPr>
          </w:p>
        </w:tc>
        <w:tc>
          <w:tcPr>
            <w:tcW w:w="660" w:type="dxa"/>
            <w:gridSpan w:val="2"/>
            <w:shd w:val="clear" w:color="auto" w:fill="auto"/>
          </w:tcPr>
          <w:p w14:paraId="69981FAE" w14:textId="77777777" w:rsidR="001259EE" w:rsidRPr="00637580" w:rsidRDefault="001259EE" w:rsidP="004E5E50">
            <w:pPr>
              <w:spacing w:before="40" w:after="40"/>
              <w:jc w:val="center"/>
              <w:rPr>
                <w:rFonts w:ascii="Arial" w:hAnsi="Arial" w:cs="Arial"/>
                <w:sz w:val="18"/>
                <w:szCs w:val="18"/>
              </w:rPr>
            </w:pPr>
          </w:p>
        </w:tc>
        <w:tc>
          <w:tcPr>
            <w:tcW w:w="660" w:type="dxa"/>
            <w:shd w:val="clear" w:color="auto" w:fill="auto"/>
          </w:tcPr>
          <w:p w14:paraId="69981FAF" w14:textId="77777777" w:rsidR="001259EE" w:rsidRPr="00637580" w:rsidRDefault="001259EE" w:rsidP="004E5E50">
            <w:pPr>
              <w:spacing w:before="40" w:after="40"/>
              <w:jc w:val="center"/>
              <w:rPr>
                <w:rFonts w:ascii="Arial" w:hAnsi="Arial" w:cs="Arial"/>
                <w:sz w:val="18"/>
                <w:szCs w:val="18"/>
              </w:rPr>
            </w:pPr>
          </w:p>
        </w:tc>
      </w:tr>
      <w:tr w:rsidR="001259EE" w:rsidRPr="00637580" w14:paraId="69981FB7" w14:textId="77777777" w:rsidTr="005275B5">
        <w:tc>
          <w:tcPr>
            <w:tcW w:w="7020" w:type="dxa"/>
            <w:gridSpan w:val="2"/>
          </w:tcPr>
          <w:p w14:paraId="69981FB1" w14:textId="77777777" w:rsidR="001259EE" w:rsidRDefault="001259EE" w:rsidP="004E5E50">
            <w:pPr>
              <w:numPr>
                <w:ilvl w:val="0"/>
                <w:numId w:val="99"/>
              </w:numPr>
              <w:spacing w:before="40" w:after="40"/>
              <w:ind w:left="522" w:hanging="540"/>
              <w:rPr>
                <w:rFonts w:ascii="Arial" w:hAnsi="Arial" w:cs="Arial"/>
                <w:sz w:val="18"/>
                <w:szCs w:val="18"/>
              </w:rPr>
            </w:pPr>
            <w:r w:rsidRPr="00637580">
              <w:rPr>
                <w:rFonts w:ascii="Arial" w:hAnsi="Arial" w:cs="Arial"/>
                <w:sz w:val="18"/>
                <w:szCs w:val="18"/>
              </w:rPr>
              <w:t>If the error relates to the failure to make funds available to the designated recipient by the disclosed date of availability (except in cases whe</w:t>
            </w:r>
            <w:r w:rsidR="00312354">
              <w:rPr>
                <w:rFonts w:ascii="Arial" w:hAnsi="Arial" w:cs="Arial"/>
                <w:sz w:val="18"/>
                <w:szCs w:val="18"/>
              </w:rPr>
              <w:t>n</w:t>
            </w:r>
            <w:r w:rsidRPr="00637580">
              <w:rPr>
                <w:rFonts w:ascii="Arial" w:hAnsi="Arial" w:cs="Arial"/>
                <w:sz w:val="18"/>
                <w:szCs w:val="18"/>
              </w:rPr>
              <w:t xml:space="preserve"> the sender provided incorrect or insufficient information), does the provider </w:t>
            </w:r>
          </w:p>
          <w:p w14:paraId="69981FB2" w14:textId="77777777" w:rsidR="001259EE" w:rsidRPr="000203F8" w:rsidRDefault="000203F8" w:rsidP="004E5E50">
            <w:pPr>
              <w:pStyle w:val="ListParagraph"/>
              <w:numPr>
                <w:ilvl w:val="0"/>
                <w:numId w:val="133"/>
              </w:numPr>
              <w:spacing w:before="40" w:after="40"/>
              <w:ind w:left="878"/>
            </w:pPr>
            <w:r w:rsidRPr="00AB7B15">
              <w:rPr>
                <w:rFonts w:ascii="Arial" w:hAnsi="Arial" w:cs="Arial"/>
                <w:sz w:val="18"/>
                <w:szCs w:val="18"/>
              </w:rPr>
              <w:t>either (i) refund the amount of funds that was not properly transmitted, or the amount appropriate to resolve the error to the sender; or (ii) make available to the designated recipient the amount appropriate to resolve the error; and</w:t>
            </w:r>
          </w:p>
          <w:p w14:paraId="69981FB3" w14:textId="77777777" w:rsidR="001259EE" w:rsidRPr="00637580" w:rsidRDefault="001259EE" w:rsidP="004E5E50">
            <w:pPr>
              <w:pStyle w:val="ChecklistBullet1"/>
              <w:numPr>
                <w:ilvl w:val="0"/>
                <w:numId w:val="116"/>
              </w:numPr>
              <w:tabs>
                <w:tab w:val="clear" w:pos="3600"/>
              </w:tabs>
              <w:spacing w:before="40" w:after="40"/>
              <w:ind w:left="878"/>
              <w:rPr>
                <w:rFonts w:ascii="Arial" w:hAnsi="Arial" w:cs="Arial"/>
                <w:sz w:val="18"/>
                <w:szCs w:val="18"/>
              </w:rPr>
            </w:pPr>
            <w:r w:rsidRPr="00637580">
              <w:rPr>
                <w:rFonts w:ascii="Arial" w:hAnsi="Arial" w:cs="Arial"/>
                <w:sz w:val="18"/>
                <w:szCs w:val="18"/>
              </w:rPr>
              <w:t>refund to the sender any fees and, to the extent not prohibited by law, taxes imposed for the remittance transfer</w:t>
            </w:r>
            <w:r>
              <w:rPr>
                <w:rFonts w:ascii="Arial" w:hAnsi="Arial" w:cs="Arial"/>
                <w:sz w:val="18"/>
                <w:szCs w:val="18"/>
              </w:rPr>
              <w:t>?</w:t>
            </w:r>
            <w:r w:rsidRPr="00637580">
              <w:rPr>
                <w:rFonts w:ascii="Arial" w:hAnsi="Arial" w:cs="Arial"/>
                <w:sz w:val="18"/>
                <w:szCs w:val="18"/>
              </w:rPr>
              <w:t xml:space="preserve"> </w:t>
            </w:r>
            <w:r w:rsidRPr="00637580">
              <w:rPr>
                <w:rFonts w:ascii="Arial" w:hAnsi="Arial" w:cs="Arial"/>
                <w:bCs/>
                <w:sz w:val="18"/>
                <w:szCs w:val="18"/>
              </w:rPr>
              <w:t>(12 CFR 1005.33(c)(2)(ii))</w:t>
            </w:r>
          </w:p>
        </w:tc>
        <w:tc>
          <w:tcPr>
            <w:tcW w:w="660" w:type="dxa"/>
            <w:gridSpan w:val="2"/>
            <w:shd w:val="clear" w:color="auto" w:fill="auto"/>
          </w:tcPr>
          <w:p w14:paraId="69981FB4" w14:textId="77777777" w:rsidR="001259EE" w:rsidRPr="00637580" w:rsidRDefault="001259EE" w:rsidP="004E5E50">
            <w:pPr>
              <w:spacing w:before="40" w:after="40"/>
              <w:jc w:val="center"/>
              <w:rPr>
                <w:rFonts w:ascii="Arial" w:hAnsi="Arial" w:cs="Arial"/>
                <w:sz w:val="18"/>
                <w:szCs w:val="18"/>
              </w:rPr>
            </w:pPr>
          </w:p>
        </w:tc>
        <w:tc>
          <w:tcPr>
            <w:tcW w:w="660" w:type="dxa"/>
            <w:gridSpan w:val="2"/>
            <w:shd w:val="clear" w:color="auto" w:fill="auto"/>
          </w:tcPr>
          <w:p w14:paraId="69981FB5" w14:textId="77777777" w:rsidR="001259EE" w:rsidRPr="00637580" w:rsidRDefault="001259EE" w:rsidP="004E5E50">
            <w:pPr>
              <w:spacing w:before="40" w:after="40"/>
              <w:jc w:val="center"/>
              <w:rPr>
                <w:rFonts w:ascii="Arial" w:hAnsi="Arial" w:cs="Arial"/>
                <w:sz w:val="18"/>
                <w:szCs w:val="18"/>
              </w:rPr>
            </w:pPr>
          </w:p>
        </w:tc>
        <w:tc>
          <w:tcPr>
            <w:tcW w:w="660" w:type="dxa"/>
            <w:shd w:val="clear" w:color="auto" w:fill="auto"/>
          </w:tcPr>
          <w:p w14:paraId="69981FB6" w14:textId="77777777" w:rsidR="001259EE" w:rsidRPr="00637580" w:rsidRDefault="001259EE" w:rsidP="004E5E50">
            <w:pPr>
              <w:spacing w:before="40" w:after="40"/>
              <w:jc w:val="center"/>
              <w:rPr>
                <w:rFonts w:ascii="Arial" w:hAnsi="Arial" w:cs="Arial"/>
                <w:sz w:val="18"/>
                <w:szCs w:val="18"/>
              </w:rPr>
            </w:pPr>
          </w:p>
        </w:tc>
      </w:tr>
      <w:tr w:rsidR="001259EE" w:rsidRPr="00637580" w14:paraId="69981FBC" w14:textId="77777777" w:rsidTr="005275B5">
        <w:tc>
          <w:tcPr>
            <w:tcW w:w="7020" w:type="dxa"/>
            <w:gridSpan w:val="2"/>
          </w:tcPr>
          <w:p w14:paraId="69981FB8" w14:textId="77777777" w:rsidR="001259EE" w:rsidRPr="00637580" w:rsidRDefault="001259EE" w:rsidP="004E5E50">
            <w:pPr>
              <w:numPr>
                <w:ilvl w:val="0"/>
                <w:numId w:val="99"/>
              </w:numPr>
              <w:spacing w:before="40" w:after="40"/>
              <w:ind w:left="522" w:hanging="522"/>
              <w:rPr>
                <w:rFonts w:ascii="Arial" w:hAnsi="Arial" w:cs="Arial"/>
                <w:sz w:val="18"/>
                <w:szCs w:val="18"/>
              </w:rPr>
            </w:pPr>
            <w:r w:rsidRPr="00637580">
              <w:rPr>
                <w:rFonts w:ascii="Arial" w:hAnsi="Arial" w:cs="Arial"/>
                <w:sz w:val="18"/>
                <w:szCs w:val="18"/>
              </w:rPr>
              <w:t>If an error occurred, does the provider</w:t>
            </w:r>
            <w:r>
              <w:rPr>
                <w:rFonts w:ascii="Arial" w:hAnsi="Arial" w:cs="Arial"/>
                <w:sz w:val="18"/>
                <w:szCs w:val="18"/>
              </w:rPr>
              <w:t xml:space="preserve"> decline to</w:t>
            </w:r>
            <w:r w:rsidRPr="00637580">
              <w:rPr>
                <w:rFonts w:ascii="Arial" w:hAnsi="Arial" w:cs="Arial"/>
                <w:sz w:val="18"/>
                <w:szCs w:val="18"/>
              </w:rPr>
              <w:t xml:space="preserve"> impose a charge related to any aspect of the error resolution process (including charges for documentation or investigation)</w:t>
            </w:r>
            <w:r w:rsidRPr="00637580">
              <w:rPr>
                <w:rFonts w:ascii="Arial" w:hAnsi="Arial" w:cs="Arial"/>
                <w:bCs/>
                <w:sz w:val="18"/>
                <w:szCs w:val="18"/>
              </w:rPr>
              <w:t xml:space="preserve">? (12 CFR 1005.33(c) and staff commentary </w:t>
            </w:r>
            <w:r>
              <w:rPr>
                <w:rFonts w:ascii="Arial" w:hAnsi="Arial" w:cs="Arial"/>
                <w:bCs/>
                <w:sz w:val="18"/>
                <w:szCs w:val="18"/>
              </w:rPr>
              <w:t>1005.</w:t>
            </w:r>
            <w:r w:rsidRPr="00637580">
              <w:rPr>
                <w:rFonts w:ascii="Arial" w:hAnsi="Arial" w:cs="Arial"/>
                <w:bCs/>
                <w:sz w:val="18"/>
                <w:szCs w:val="18"/>
              </w:rPr>
              <w:t>33(c)–9)</w:t>
            </w:r>
            <w:r w:rsidRPr="00637580">
              <w:rPr>
                <w:rFonts w:ascii="Arial" w:hAnsi="Arial" w:cs="Arial"/>
                <w:sz w:val="18"/>
                <w:szCs w:val="18"/>
              </w:rPr>
              <w:t xml:space="preserve"> </w:t>
            </w:r>
          </w:p>
        </w:tc>
        <w:tc>
          <w:tcPr>
            <w:tcW w:w="660" w:type="dxa"/>
            <w:gridSpan w:val="2"/>
            <w:shd w:val="clear" w:color="auto" w:fill="auto"/>
          </w:tcPr>
          <w:p w14:paraId="69981FB9" w14:textId="77777777" w:rsidR="001259EE" w:rsidRPr="00637580" w:rsidRDefault="001259EE" w:rsidP="004E5E50">
            <w:pPr>
              <w:spacing w:before="40" w:after="40"/>
              <w:jc w:val="center"/>
              <w:rPr>
                <w:rFonts w:ascii="Arial" w:hAnsi="Arial" w:cs="Arial"/>
                <w:sz w:val="18"/>
                <w:szCs w:val="18"/>
              </w:rPr>
            </w:pPr>
          </w:p>
        </w:tc>
        <w:tc>
          <w:tcPr>
            <w:tcW w:w="660" w:type="dxa"/>
            <w:gridSpan w:val="2"/>
            <w:shd w:val="clear" w:color="auto" w:fill="auto"/>
          </w:tcPr>
          <w:p w14:paraId="69981FBA" w14:textId="77777777" w:rsidR="001259EE" w:rsidRPr="00637580" w:rsidRDefault="001259EE" w:rsidP="004E5E50">
            <w:pPr>
              <w:spacing w:before="40" w:after="40"/>
              <w:jc w:val="center"/>
              <w:rPr>
                <w:rFonts w:ascii="Arial" w:hAnsi="Arial" w:cs="Arial"/>
                <w:sz w:val="18"/>
                <w:szCs w:val="18"/>
              </w:rPr>
            </w:pPr>
          </w:p>
        </w:tc>
        <w:tc>
          <w:tcPr>
            <w:tcW w:w="660" w:type="dxa"/>
            <w:shd w:val="clear" w:color="auto" w:fill="auto"/>
          </w:tcPr>
          <w:p w14:paraId="69981FBB" w14:textId="77777777" w:rsidR="001259EE" w:rsidRPr="00637580" w:rsidRDefault="001259EE" w:rsidP="004E5E50">
            <w:pPr>
              <w:spacing w:before="40" w:after="40"/>
              <w:jc w:val="center"/>
              <w:rPr>
                <w:rFonts w:ascii="Arial" w:hAnsi="Arial" w:cs="Arial"/>
                <w:sz w:val="18"/>
                <w:szCs w:val="18"/>
              </w:rPr>
            </w:pPr>
          </w:p>
        </w:tc>
      </w:tr>
      <w:tr w:rsidR="001259EE" w:rsidRPr="00637580" w14:paraId="69981FC1" w14:textId="77777777" w:rsidTr="005275B5">
        <w:tc>
          <w:tcPr>
            <w:tcW w:w="7020" w:type="dxa"/>
            <w:gridSpan w:val="2"/>
            <w:tcBorders>
              <w:bottom w:val="single" w:sz="4" w:space="0" w:color="auto"/>
            </w:tcBorders>
          </w:tcPr>
          <w:p w14:paraId="69981FBD" w14:textId="77777777" w:rsidR="001259EE" w:rsidRPr="00637580" w:rsidRDefault="001259EE" w:rsidP="004E5E50">
            <w:pPr>
              <w:numPr>
                <w:ilvl w:val="0"/>
                <w:numId w:val="99"/>
              </w:numPr>
              <w:spacing w:before="40" w:after="40"/>
              <w:ind w:left="522" w:hanging="522"/>
              <w:rPr>
                <w:rFonts w:ascii="Arial" w:hAnsi="Arial" w:cs="Arial"/>
                <w:sz w:val="18"/>
                <w:szCs w:val="18"/>
              </w:rPr>
            </w:pPr>
            <w:r w:rsidRPr="00637580">
              <w:rPr>
                <w:rFonts w:ascii="Arial" w:hAnsi="Arial" w:cs="Arial"/>
                <w:sz w:val="18"/>
                <w:szCs w:val="18"/>
              </w:rPr>
              <w:t xml:space="preserve">Does the provider retain policies and procedures and documentation, including those related to error investigations, for a period of not less than two years from the date a notice of error was submitted to the provider or action was required to be taken by the provider? (12 CFR 1005.33(g) and </w:t>
            </w:r>
            <w:r>
              <w:rPr>
                <w:rFonts w:ascii="Arial" w:hAnsi="Arial" w:cs="Arial"/>
                <w:sz w:val="18"/>
                <w:szCs w:val="18"/>
              </w:rPr>
              <w:t>12 CFR </w:t>
            </w:r>
            <w:r w:rsidRPr="00637580">
              <w:rPr>
                <w:rFonts w:ascii="Arial" w:hAnsi="Arial" w:cs="Arial"/>
                <w:sz w:val="18"/>
                <w:szCs w:val="18"/>
              </w:rPr>
              <w:t>1005.13 and staff commentary 1005.33(g)–1)</w:t>
            </w:r>
            <w:r w:rsidRPr="00637580">
              <w:rPr>
                <w:rFonts w:ascii="Arial" w:hAnsi="Arial" w:cs="Arial"/>
                <w:bCs/>
                <w:sz w:val="18"/>
                <w:szCs w:val="18"/>
              </w:rPr>
              <w:t xml:space="preserve"> </w:t>
            </w:r>
          </w:p>
        </w:tc>
        <w:tc>
          <w:tcPr>
            <w:tcW w:w="660" w:type="dxa"/>
            <w:gridSpan w:val="2"/>
            <w:tcBorders>
              <w:bottom w:val="single" w:sz="4" w:space="0" w:color="auto"/>
            </w:tcBorders>
            <w:shd w:val="clear" w:color="auto" w:fill="auto"/>
          </w:tcPr>
          <w:p w14:paraId="69981FBE" w14:textId="77777777" w:rsidR="001259EE" w:rsidRPr="00637580" w:rsidRDefault="001259EE" w:rsidP="004E5E50">
            <w:pPr>
              <w:spacing w:before="40" w:after="40"/>
              <w:jc w:val="center"/>
              <w:rPr>
                <w:rFonts w:ascii="Arial" w:hAnsi="Arial" w:cs="Arial"/>
                <w:sz w:val="18"/>
                <w:szCs w:val="18"/>
              </w:rPr>
            </w:pPr>
          </w:p>
        </w:tc>
        <w:tc>
          <w:tcPr>
            <w:tcW w:w="660" w:type="dxa"/>
            <w:gridSpan w:val="2"/>
            <w:tcBorders>
              <w:bottom w:val="single" w:sz="4" w:space="0" w:color="auto"/>
            </w:tcBorders>
            <w:shd w:val="clear" w:color="auto" w:fill="auto"/>
          </w:tcPr>
          <w:p w14:paraId="69981FBF" w14:textId="77777777" w:rsidR="001259EE" w:rsidRPr="00637580" w:rsidRDefault="001259EE" w:rsidP="004E5E50">
            <w:pPr>
              <w:spacing w:before="40" w:after="40"/>
              <w:jc w:val="center"/>
              <w:rPr>
                <w:rFonts w:ascii="Arial" w:hAnsi="Arial" w:cs="Arial"/>
                <w:sz w:val="18"/>
                <w:szCs w:val="18"/>
              </w:rPr>
            </w:pPr>
          </w:p>
        </w:tc>
        <w:tc>
          <w:tcPr>
            <w:tcW w:w="660" w:type="dxa"/>
            <w:tcBorders>
              <w:bottom w:val="single" w:sz="4" w:space="0" w:color="auto"/>
            </w:tcBorders>
            <w:shd w:val="clear" w:color="auto" w:fill="auto"/>
          </w:tcPr>
          <w:p w14:paraId="69981FC0" w14:textId="77777777" w:rsidR="001259EE" w:rsidRPr="00637580" w:rsidRDefault="001259EE" w:rsidP="004E5E50">
            <w:pPr>
              <w:spacing w:before="40" w:after="40"/>
              <w:jc w:val="center"/>
              <w:rPr>
                <w:rFonts w:ascii="Arial" w:hAnsi="Arial" w:cs="Arial"/>
                <w:sz w:val="18"/>
                <w:szCs w:val="18"/>
              </w:rPr>
            </w:pPr>
          </w:p>
        </w:tc>
      </w:tr>
    </w:tbl>
    <w:p w14:paraId="69981FC2" w14:textId="77777777" w:rsidR="003D07CA" w:rsidRDefault="003D07CA" w:rsidP="003D07CA">
      <w:r>
        <w:br w:type="page"/>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702"/>
        <w:gridCol w:w="702"/>
        <w:gridCol w:w="702"/>
      </w:tblGrid>
      <w:tr w:rsidR="001259EE" w:rsidRPr="00637580" w14:paraId="69981FC7" w14:textId="77777777" w:rsidTr="004E5E50">
        <w:trPr>
          <w:tblHeader/>
        </w:trPr>
        <w:tc>
          <w:tcPr>
            <w:tcW w:w="6912" w:type="dxa"/>
            <w:shd w:val="clear" w:color="auto" w:fill="auto"/>
          </w:tcPr>
          <w:p w14:paraId="69981FC3" w14:textId="77777777" w:rsidR="001259EE" w:rsidRPr="007C7C6F" w:rsidRDefault="001259EE" w:rsidP="004E5E50">
            <w:pPr>
              <w:spacing w:before="40" w:after="40"/>
              <w:jc w:val="center"/>
              <w:rPr>
                <w:rFonts w:ascii="Arial" w:hAnsi="Arial" w:cs="Arial"/>
                <w:sz w:val="18"/>
                <w:szCs w:val="18"/>
              </w:rPr>
            </w:pPr>
            <w:r w:rsidRPr="00691CA2">
              <w:rPr>
                <w:rFonts w:ascii="Arial" w:hAnsi="Arial" w:cs="Arial"/>
                <w:b/>
                <w:sz w:val="18"/>
                <w:szCs w:val="18"/>
              </w:rPr>
              <w:t>EFTA Worksheet</w:t>
            </w:r>
          </w:p>
        </w:tc>
        <w:tc>
          <w:tcPr>
            <w:tcW w:w="702" w:type="dxa"/>
            <w:shd w:val="clear" w:color="auto" w:fill="auto"/>
          </w:tcPr>
          <w:p w14:paraId="69981FC4" w14:textId="77777777" w:rsidR="001259EE" w:rsidRPr="00637580" w:rsidRDefault="001259EE" w:rsidP="004E5E50">
            <w:pPr>
              <w:spacing w:before="40" w:after="40"/>
              <w:ind w:left="-78" w:hanging="78"/>
              <w:jc w:val="center"/>
              <w:rPr>
                <w:rFonts w:ascii="Arial" w:hAnsi="Arial" w:cs="Arial"/>
                <w:b/>
                <w:sz w:val="18"/>
                <w:szCs w:val="18"/>
              </w:rPr>
            </w:pPr>
            <w:r w:rsidRPr="00637580">
              <w:rPr>
                <w:rFonts w:ascii="Arial" w:hAnsi="Arial" w:cs="Arial"/>
                <w:b/>
                <w:sz w:val="18"/>
                <w:szCs w:val="18"/>
              </w:rPr>
              <w:t>Yes</w:t>
            </w:r>
          </w:p>
        </w:tc>
        <w:tc>
          <w:tcPr>
            <w:tcW w:w="702" w:type="dxa"/>
            <w:shd w:val="clear" w:color="auto" w:fill="auto"/>
          </w:tcPr>
          <w:p w14:paraId="69981FC5" w14:textId="77777777" w:rsidR="001259EE" w:rsidRPr="00637580" w:rsidRDefault="001259EE" w:rsidP="004E5E50">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702" w:type="dxa"/>
            <w:shd w:val="clear" w:color="auto" w:fill="auto"/>
          </w:tcPr>
          <w:p w14:paraId="69981FC6" w14:textId="77777777" w:rsidR="001259EE" w:rsidRPr="00637580" w:rsidRDefault="001259EE" w:rsidP="004E5E50">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1259EE" w:rsidRPr="00637580" w14:paraId="69981FCC" w14:textId="77777777" w:rsidTr="004E5E50">
        <w:tc>
          <w:tcPr>
            <w:tcW w:w="6912" w:type="dxa"/>
            <w:shd w:val="clear" w:color="auto" w:fill="D9D9D9" w:themeFill="background1" w:themeFillShade="D9"/>
          </w:tcPr>
          <w:p w14:paraId="69981FC8" w14:textId="77777777" w:rsidR="001259EE" w:rsidRPr="00637580" w:rsidRDefault="001259EE" w:rsidP="004E5E50">
            <w:pPr>
              <w:spacing w:before="40" w:after="40"/>
              <w:rPr>
                <w:rFonts w:ascii="Arial" w:hAnsi="Arial" w:cs="Arial"/>
                <w:sz w:val="18"/>
                <w:szCs w:val="18"/>
              </w:rPr>
            </w:pPr>
            <w:r w:rsidRPr="00637580">
              <w:rPr>
                <w:rFonts w:ascii="Arial" w:hAnsi="Arial" w:cs="Arial"/>
                <w:b/>
                <w:sz w:val="18"/>
                <w:szCs w:val="18"/>
              </w:rPr>
              <w:t>12 CFR 1005.34 – Procedures for Cancellation and Refund of Remittance Transfers</w:t>
            </w:r>
          </w:p>
        </w:tc>
        <w:tc>
          <w:tcPr>
            <w:tcW w:w="702" w:type="dxa"/>
            <w:shd w:val="clear" w:color="auto" w:fill="D9D9D9" w:themeFill="background1" w:themeFillShade="D9"/>
          </w:tcPr>
          <w:p w14:paraId="69981FC9"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D9D9D9" w:themeFill="background1" w:themeFillShade="D9"/>
          </w:tcPr>
          <w:p w14:paraId="69981FCA"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D9D9D9" w:themeFill="background1" w:themeFillShade="D9"/>
          </w:tcPr>
          <w:p w14:paraId="69981FCB" w14:textId="77777777" w:rsidR="001259EE" w:rsidRPr="00637580" w:rsidRDefault="001259EE" w:rsidP="004E5E50">
            <w:pPr>
              <w:spacing w:before="40" w:after="40"/>
              <w:jc w:val="center"/>
              <w:rPr>
                <w:rFonts w:ascii="Arial" w:hAnsi="Arial" w:cs="Arial"/>
                <w:sz w:val="18"/>
                <w:szCs w:val="18"/>
              </w:rPr>
            </w:pPr>
          </w:p>
        </w:tc>
      </w:tr>
      <w:tr w:rsidR="001259EE" w:rsidRPr="00637580" w14:paraId="69981FD3" w14:textId="77777777" w:rsidTr="004E5E50">
        <w:tc>
          <w:tcPr>
            <w:tcW w:w="6912" w:type="dxa"/>
          </w:tcPr>
          <w:p w14:paraId="69981FCD" w14:textId="77777777" w:rsidR="001259EE" w:rsidRPr="00637580" w:rsidRDefault="001259EE" w:rsidP="004E5E50">
            <w:pPr>
              <w:numPr>
                <w:ilvl w:val="0"/>
                <w:numId w:val="99"/>
              </w:numPr>
              <w:spacing w:before="40" w:after="40"/>
              <w:ind w:left="522" w:hanging="522"/>
              <w:rPr>
                <w:rFonts w:ascii="Arial" w:hAnsi="Arial" w:cs="Arial"/>
                <w:sz w:val="18"/>
                <w:szCs w:val="18"/>
              </w:rPr>
            </w:pPr>
            <w:r w:rsidRPr="00637580">
              <w:rPr>
                <w:rFonts w:ascii="Arial" w:hAnsi="Arial" w:cs="Arial"/>
                <w:sz w:val="18"/>
                <w:szCs w:val="18"/>
              </w:rPr>
              <w:t xml:space="preserve">Does the provider comply with any oral or written request to cancel a remittance transfer (except for transfers scheduled three or more business days before the date of transfer) from the sender that is received no later than 30 minutes after the sender makes payment in connection with the remittance transfer? (12 CFR 1005.34(a)) </w:t>
            </w:r>
          </w:p>
          <w:p w14:paraId="69981FCE" w14:textId="77777777" w:rsidR="001259EE" w:rsidRPr="00637580" w:rsidRDefault="001259EE" w:rsidP="004E5E50">
            <w:pPr>
              <w:spacing w:before="40" w:after="40"/>
              <w:ind w:left="522"/>
              <w:rPr>
                <w:rFonts w:ascii="Arial" w:hAnsi="Arial" w:cs="Arial"/>
                <w:sz w:val="18"/>
                <w:szCs w:val="18"/>
              </w:rPr>
            </w:pPr>
          </w:p>
          <w:p w14:paraId="69981FCF" w14:textId="77777777" w:rsidR="001259EE" w:rsidRPr="00637580" w:rsidRDefault="001259EE" w:rsidP="004E5E50">
            <w:pPr>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The request to cancel must enable the provider to identify the sender’s name and address or telephone number and the particular transfer to be canceled; and the transferred funds must not have been picked up by the designated recipient or deposited into an account of the designated recipient (12 CFR 1005.34(a)(1) and (2)).</w:t>
            </w:r>
          </w:p>
        </w:tc>
        <w:tc>
          <w:tcPr>
            <w:tcW w:w="702" w:type="dxa"/>
            <w:shd w:val="clear" w:color="auto" w:fill="auto"/>
          </w:tcPr>
          <w:p w14:paraId="69981FD0"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auto"/>
          </w:tcPr>
          <w:p w14:paraId="69981FD1"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auto"/>
          </w:tcPr>
          <w:p w14:paraId="69981FD2" w14:textId="77777777" w:rsidR="001259EE" w:rsidRPr="00637580" w:rsidRDefault="001259EE" w:rsidP="004E5E50">
            <w:pPr>
              <w:spacing w:before="40" w:after="40"/>
              <w:jc w:val="center"/>
              <w:rPr>
                <w:rFonts w:ascii="Arial" w:hAnsi="Arial" w:cs="Arial"/>
                <w:sz w:val="18"/>
                <w:szCs w:val="18"/>
              </w:rPr>
            </w:pPr>
          </w:p>
        </w:tc>
      </w:tr>
      <w:tr w:rsidR="001259EE" w:rsidRPr="00637580" w14:paraId="69981FDA" w14:textId="77777777" w:rsidTr="004E5E50">
        <w:tc>
          <w:tcPr>
            <w:tcW w:w="6912" w:type="dxa"/>
            <w:tcBorders>
              <w:bottom w:val="single" w:sz="4" w:space="0" w:color="auto"/>
            </w:tcBorders>
          </w:tcPr>
          <w:p w14:paraId="69981FD4" w14:textId="77777777" w:rsidR="001259EE" w:rsidRPr="00637580" w:rsidRDefault="001259EE" w:rsidP="004E5E50">
            <w:pPr>
              <w:numPr>
                <w:ilvl w:val="0"/>
                <w:numId w:val="99"/>
              </w:numPr>
              <w:spacing w:before="40" w:after="40"/>
              <w:ind w:left="522" w:hanging="522"/>
              <w:rPr>
                <w:rFonts w:ascii="Arial" w:hAnsi="Arial" w:cs="Arial"/>
                <w:sz w:val="18"/>
                <w:szCs w:val="18"/>
              </w:rPr>
            </w:pPr>
            <w:r w:rsidRPr="00637580">
              <w:rPr>
                <w:rFonts w:ascii="Arial" w:hAnsi="Arial" w:cs="Arial"/>
                <w:sz w:val="18"/>
                <w:szCs w:val="18"/>
              </w:rPr>
              <w:t>If a sender provides a timely request to cancel a remittance transfer, does the provider refund all funds provided by the sender in connection with the remittance transfer at no additional cost to the sender, within three business days of receiving the request? (12 CFR 1005.34(b)</w:t>
            </w:r>
            <w:r>
              <w:rPr>
                <w:rFonts w:ascii="Arial" w:hAnsi="Arial" w:cs="Arial"/>
                <w:sz w:val="18"/>
                <w:szCs w:val="18"/>
              </w:rPr>
              <w:t>)</w:t>
            </w:r>
          </w:p>
          <w:p w14:paraId="69981FD5" w14:textId="77777777" w:rsidR="001259EE" w:rsidRPr="00637580" w:rsidRDefault="001259EE" w:rsidP="004E5E50">
            <w:pPr>
              <w:spacing w:before="40" w:after="40"/>
              <w:ind w:left="522"/>
              <w:rPr>
                <w:rFonts w:ascii="Arial" w:hAnsi="Arial" w:cs="Arial"/>
                <w:sz w:val="18"/>
                <w:szCs w:val="18"/>
              </w:rPr>
            </w:pPr>
          </w:p>
          <w:p w14:paraId="69981FD6" w14:textId="77777777" w:rsidR="001259EE" w:rsidRPr="00637580" w:rsidRDefault="001259EE" w:rsidP="004E5E50">
            <w:pPr>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The funds to be refunded include any fees and, to the extent not prohibited by law, taxes that have been imposed for the transfer, whether the fee or tax was assessed by the provider or a third party, such as an intermediary institution, the </w:t>
            </w:r>
            <w:proofErr w:type="gramStart"/>
            <w:r w:rsidRPr="00637580">
              <w:rPr>
                <w:rFonts w:ascii="Arial" w:hAnsi="Arial" w:cs="Arial"/>
                <w:sz w:val="18"/>
                <w:szCs w:val="18"/>
              </w:rPr>
              <w:t>agent</w:t>
            </w:r>
            <w:proofErr w:type="gramEnd"/>
            <w:r w:rsidRPr="00637580">
              <w:rPr>
                <w:rFonts w:ascii="Arial" w:hAnsi="Arial" w:cs="Arial"/>
                <w:sz w:val="18"/>
                <w:szCs w:val="18"/>
              </w:rPr>
              <w:t xml:space="preserve"> or bank in the recipient country, or a </w:t>
            </w:r>
            <w:r>
              <w:rPr>
                <w:rFonts w:ascii="Arial" w:hAnsi="Arial" w:cs="Arial"/>
                <w:sz w:val="18"/>
                <w:szCs w:val="18"/>
              </w:rPr>
              <w:t>s</w:t>
            </w:r>
            <w:r w:rsidRPr="00637580">
              <w:rPr>
                <w:rFonts w:ascii="Arial" w:hAnsi="Arial" w:cs="Arial"/>
                <w:sz w:val="18"/>
                <w:szCs w:val="18"/>
              </w:rPr>
              <w:t>tate or other governmental body</w:t>
            </w:r>
            <w:r>
              <w:rPr>
                <w:rFonts w:ascii="Arial" w:hAnsi="Arial" w:cs="Arial"/>
                <w:sz w:val="18"/>
                <w:szCs w:val="18"/>
              </w:rPr>
              <w:t>.</w:t>
            </w:r>
            <w:r w:rsidRPr="00637580">
              <w:rPr>
                <w:rFonts w:ascii="Arial" w:hAnsi="Arial" w:cs="Arial"/>
                <w:sz w:val="18"/>
                <w:szCs w:val="18"/>
              </w:rPr>
              <w:t xml:space="preserve"> (12 CFR 1005.34(b))</w:t>
            </w:r>
          </w:p>
        </w:tc>
        <w:tc>
          <w:tcPr>
            <w:tcW w:w="702" w:type="dxa"/>
            <w:tcBorders>
              <w:bottom w:val="single" w:sz="4" w:space="0" w:color="auto"/>
            </w:tcBorders>
            <w:shd w:val="clear" w:color="auto" w:fill="auto"/>
          </w:tcPr>
          <w:p w14:paraId="69981FD7" w14:textId="77777777" w:rsidR="001259EE" w:rsidRPr="00637580" w:rsidRDefault="001259EE" w:rsidP="004E5E50">
            <w:pPr>
              <w:spacing w:before="40" w:after="40"/>
              <w:jc w:val="center"/>
              <w:rPr>
                <w:rFonts w:ascii="Arial" w:hAnsi="Arial" w:cs="Arial"/>
                <w:sz w:val="18"/>
                <w:szCs w:val="18"/>
              </w:rPr>
            </w:pPr>
          </w:p>
        </w:tc>
        <w:tc>
          <w:tcPr>
            <w:tcW w:w="702" w:type="dxa"/>
            <w:tcBorders>
              <w:bottom w:val="single" w:sz="4" w:space="0" w:color="auto"/>
            </w:tcBorders>
            <w:shd w:val="clear" w:color="auto" w:fill="auto"/>
          </w:tcPr>
          <w:p w14:paraId="69981FD8" w14:textId="77777777" w:rsidR="001259EE" w:rsidRPr="00637580" w:rsidRDefault="001259EE" w:rsidP="004E5E50">
            <w:pPr>
              <w:spacing w:before="40" w:after="40"/>
              <w:jc w:val="center"/>
              <w:rPr>
                <w:rFonts w:ascii="Arial" w:hAnsi="Arial" w:cs="Arial"/>
                <w:sz w:val="18"/>
                <w:szCs w:val="18"/>
              </w:rPr>
            </w:pPr>
          </w:p>
        </w:tc>
        <w:tc>
          <w:tcPr>
            <w:tcW w:w="702" w:type="dxa"/>
            <w:tcBorders>
              <w:bottom w:val="single" w:sz="4" w:space="0" w:color="auto"/>
            </w:tcBorders>
            <w:shd w:val="clear" w:color="auto" w:fill="auto"/>
          </w:tcPr>
          <w:p w14:paraId="69981FD9" w14:textId="77777777" w:rsidR="001259EE" w:rsidRPr="00637580" w:rsidRDefault="001259EE" w:rsidP="004E5E50">
            <w:pPr>
              <w:spacing w:before="40" w:after="40"/>
              <w:jc w:val="center"/>
              <w:rPr>
                <w:rFonts w:ascii="Arial" w:hAnsi="Arial" w:cs="Arial"/>
                <w:sz w:val="18"/>
                <w:szCs w:val="18"/>
              </w:rPr>
            </w:pPr>
          </w:p>
        </w:tc>
      </w:tr>
      <w:tr w:rsidR="001259EE" w:rsidRPr="00637580" w14:paraId="69981FDF" w14:textId="77777777" w:rsidTr="004E5E50">
        <w:tc>
          <w:tcPr>
            <w:tcW w:w="6912" w:type="dxa"/>
            <w:shd w:val="clear" w:color="auto" w:fill="D9D9D9" w:themeFill="background1" w:themeFillShade="D9"/>
          </w:tcPr>
          <w:p w14:paraId="69981FDB" w14:textId="77777777" w:rsidR="001259EE" w:rsidRPr="00637580" w:rsidRDefault="001259EE" w:rsidP="004E5E50">
            <w:pPr>
              <w:spacing w:before="40" w:after="40"/>
              <w:rPr>
                <w:rFonts w:ascii="Arial" w:hAnsi="Arial" w:cs="Arial"/>
                <w:sz w:val="18"/>
                <w:szCs w:val="18"/>
              </w:rPr>
            </w:pPr>
            <w:r w:rsidRPr="00637580">
              <w:rPr>
                <w:rFonts w:ascii="Arial" w:hAnsi="Arial" w:cs="Arial"/>
                <w:b/>
                <w:sz w:val="18"/>
                <w:szCs w:val="18"/>
              </w:rPr>
              <w:t>12 CFR 1005.35 – Acts of Agents</w:t>
            </w:r>
          </w:p>
        </w:tc>
        <w:tc>
          <w:tcPr>
            <w:tcW w:w="702" w:type="dxa"/>
            <w:shd w:val="clear" w:color="auto" w:fill="D9D9D9" w:themeFill="background1" w:themeFillShade="D9"/>
          </w:tcPr>
          <w:p w14:paraId="69981FDC"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D9D9D9" w:themeFill="background1" w:themeFillShade="D9"/>
          </w:tcPr>
          <w:p w14:paraId="69981FDD"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D9D9D9" w:themeFill="background1" w:themeFillShade="D9"/>
          </w:tcPr>
          <w:p w14:paraId="69981FDE" w14:textId="77777777" w:rsidR="001259EE" w:rsidRPr="00637580" w:rsidRDefault="001259EE" w:rsidP="004E5E50">
            <w:pPr>
              <w:spacing w:before="40" w:after="40"/>
              <w:jc w:val="center"/>
              <w:rPr>
                <w:rFonts w:ascii="Arial" w:hAnsi="Arial" w:cs="Arial"/>
                <w:sz w:val="18"/>
                <w:szCs w:val="18"/>
              </w:rPr>
            </w:pPr>
          </w:p>
        </w:tc>
      </w:tr>
      <w:tr w:rsidR="001259EE" w:rsidRPr="00637580" w14:paraId="69981FE8" w14:textId="77777777" w:rsidTr="004E5E50">
        <w:tc>
          <w:tcPr>
            <w:tcW w:w="6912" w:type="dxa"/>
          </w:tcPr>
          <w:p w14:paraId="69981FE0" w14:textId="77777777" w:rsidR="001259EE" w:rsidRPr="00637580" w:rsidRDefault="001259EE" w:rsidP="004E5E50">
            <w:pPr>
              <w:numPr>
                <w:ilvl w:val="0"/>
                <w:numId w:val="99"/>
              </w:numPr>
              <w:spacing w:before="40" w:after="40"/>
              <w:ind w:left="522" w:hanging="540"/>
              <w:rPr>
                <w:rFonts w:ascii="Arial" w:hAnsi="Arial" w:cs="Arial"/>
                <w:sz w:val="18"/>
                <w:szCs w:val="18"/>
              </w:rPr>
            </w:pPr>
            <w:r w:rsidRPr="00637580">
              <w:rPr>
                <w:rFonts w:ascii="Arial" w:hAnsi="Arial" w:cs="Arial"/>
                <w:sz w:val="18"/>
                <w:szCs w:val="18"/>
              </w:rPr>
              <w:t xml:space="preserve">Has the provider established and maintained policies or procedures, including policies </w:t>
            </w:r>
            <w:r>
              <w:rPr>
                <w:rFonts w:ascii="Arial" w:hAnsi="Arial" w:cs="Arial"/>
                <w:sz w:val="18"/>
                <w:szCs w:val="18"/>
              </w:rPr>
              <w:t xml:space="preserve">or </w:t>
            </w:r>
            <w:r w:rsidRPr="00637580">
              <w:rPr>
                <w:rFonts w:ascii="Arial" w:hAnsi="Arial" w:cs="Arial"/>
                <w:sz w:val="18"/>
                <w:szCs w:val="18"/>
              </w:rPr>
              <w:t xml:space="preserve">procedures for compliance, or other appropriate oversight measures designed to assure compliance by an agent or authorized delegate acting for such provider? </w:t>
            </w:r>
          </w:p>
          <w:p w14:paraId="69981FE1" w14:textId="77777777" w:rsidR="001259EE" w:rsidRPr="00637580" w:rsidRDefault="001259EE" w:rsidP="004E5E50">
            <w:pPr>
              <w:spacing w:before="40" w:after="40"/>
              <w:ind w:left="522"/>
              <w:rPr>
                <w:rFonts w:ascii="Arial" w:hAnsi="Arial" w:cs="Arial"/>
                <w:sz w:val="18"/>
                <w:szCs w:val="18"/>
              </w:rPr>
            </w:pPr>
          </w:p>
          <w:p w14:paraId="69981FE2" w14:textId="77777777" w:rsidR="001259EE" w:rsidRPr="00637580" w:rsidRDefault="001259EE" w:rsidP="004E5E50">
            <w:pPr>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The provider is liable for any violation of the remittance transfer rules by an agent when the agent acts for the provider. (12 CFR 1005.35)</w:t>
            </w:r>
          </w:p>
          <w:p w14:paraId="69981FE3" w14:textId="77777777" w:rsidR="001259EE" w:rsidRPr="00637580" w:rsidRDefault="001259EE" w:rsidP="004E5E50">
            <w:pPr>
              <w:spacing w:before="40" w:after="40"/>
              <w:ind w:left="522"/>
              <w:rPr>
                <w:rFonts w:ascii="Arial" w:hAnsi="Arial" w:cs="Arial"/>
                <w:sz w:val="18"/>
                <w:szCs w:val="18"/>
              </w:rPr>
            </w:pPr>
          </w:p>
          <w:p w14:paraId="69981FE4" w14:textId="77777777" w:rsidR="001259EE" w:rsidRPr="00637580" w:rsidRDefault="00F33F01" w:rsidP="004E5E50">
            <w:pPr>
              <w:spacing w:before="40" w:after="40"/>
              <w:ind w:left="522"/>
              <w:rPr>
                <w:rFonts w:ascii="Arial" w:hAnsi="Arial" w:cs="Arial"/>
                <w:sz w:val="18"/>
                <w:szCs w:val="18"/>
              </w:rPr>
            </w:pPr>
            <w:r>
              <w:rPr>
                <w:rFonts w:ascii="Arial" w:hAnsi="Arial" w:cs="Arial"/>
                <w:sz w:val="18"/>
                <w:szCs w:val="18"/>
              </w:rPr>
              <w:t>Consider</w:t>
            </w:r>
            <w:r w:rsidR="001259EE" w:rsidRPr="00637580">
              <w:rPr>
                <w:rFonts w:ascii="Arial" w:hAnsi="Arial" w:cs="Arial"/>
                <w:sz w:val="18"/>
                <w:szCs w:val="18"/>
              </w:rPr>
              <w:t xml:space="preserve"> </w:t>
            </w:r>
          </w:p>
        </w:tc>
        <w:tc>
          <w:tcPr>
            <w:tcW w:w="702" w:type="dxa"/>
            <w:tcBorders>
              <w:bottom w:val="single" w:sz="4" w:space="0" w:color="auto"/>
            </w:tcBorders>
            <w:shd w:val="clear" w:color="auto" w:fill="auto"/>
          </w:tcPr>
          <w:p w14:paraId="69981FE5" w14:textId="77777777" w:rsidR="001259EE" w:rsidRPr="00637580" w:rsidRDefault="001259EE" w:rsidP="004E5E50">
            <w:pPr>
              <w:spacing w:before="40" w:after="40"/>
              <w:jc w:val="center"/>
              <w:rPr>
                <w:rFonts w:ascii="Arial" w:hAnsi="Arial" w:cs="Arial"/>
                <w:sz w:val="18"/>
                <w:szCs w:val="18"/>
              </w:rPr>
            </w:pPr>
          </w:p>
        </w:tc>
        <w:tc>
          <w:tcPr>
            <w:tcW w:w="702" w:type="dxa"/>
            <w:tcBorders>
              <w:bottom w:val="single" w:sz="4" w:space="0" w:color="auto"/>
            </w:tcBorders>
            <w:shd w:val="clear" w:color="auto" w:fill="auto"/>
          </w:tcPr>
          <w:p w14:paraId="69981FE6" w14:textId="77777777" w:rsidR="001259EE" w:rsidRPr="00637580" w:rsidRDefault="001259EE" w:rsidP="004E5E50">
            <w:pPr>
              <w:spacing w:before="40" w:after="40"/>
              <w:jc w:val="center"/>
              <w:rPr>
                <w:rFonts w:ascii="Arial" w:hAnsi="Arial" w:cs="Arial"/>
                <w:sz w:val="18"/>
                <w:szCs w:val="18"/>
              </w:rPr>
            </w:pPr>
          </w:p>
        </w:tc>
        <w:tc>
          <w:tcPr>
            <w:tcW w:w="702" w:type="dxa"/>
            <w:tcBorders>
              <w:bottom w:val="single" w:sz="4" w:space="0" w:color="auto"/>
            </w:tcBorders>
            <w:shd w:val="clear" w:color="auto" w:fill="auto"/>
          </w:tcPr>
          <w:p w14:paraId="69981FE7" w14:textId="77777777" w:rsidR="001259EE" w:rsidRPr="00637580" w:rsidRDefault="001259EE" w:rsidP="004E5E50">
            <w:pPr>
              <w:spacing w:before="40" w:after="40"/>
              <w:jc w:val="center"/>
              <w:rPr>
                <w:rFonts w:ascii="Arial" w:hAnsi="Arial" w:cs="Arial"/>
                <w:sz w:val="18"/>
                <w:szCs w:val="18"/>
              </w:rPr>
            </w:pPr>
          </w:p>
        </w:tc>
      </w:tr>
      <w:tr w:rsidR="001259EE" w:rsidRPr="00637580" w14:paraId="69981FED" w14:textId="77777777" w:rsidTr="004E5E50">
        <w:tc>
          <w:tcPr>
            <w:tcW w:w="6912" w:type="dxa"/>
          </w:tcPr>
          <w:p w14:paraId="69981FE9" w14:textId="77777777" w:rsidR="001259EE" w:rsidRPr="00637580" w:rsidRDefault="001259EE" w:rsidP="004E5E50">
            <w:pPr>
              <w:pStyle w:val="ChecklistBullet1"/>
              <w:numPr>
                <w:ilvl w:val="0"/>
                <w:numId w:val="116"/>
              </w:numPr>
              <w:tabs>
                <w:tab w:val="clear" w:pos="3600"/>
                <w:tab w:val="left" w:pos="882"/>
              </w:tabs>
              <w:spacing w:before="40" w:after="40"/>
              <w:rPr>
                <w:rFonts w:ascii="Arial" w:hAnsi="Arial" w:cs="Arial"/>
                <w:sz w:val="18"/>
                <w:szCs w:val="18"/>
              </w:rPr>
            </w:pPr>
            <w:r w:rsidRPr="00637580">
              <w:rPr>
                <w:rFonts w:ascii="Arial" w:hAnsi="Arial" w:cs="Arial"/>
                <w:sz w:val="18"/>
                <w:szCs w:val="18"/>
              </w:rPr>
              <w:t>the degree of control the agent exercises over the remittance transfer activities performed on the provider’s behalf;</w:t>
            </w:r>
          </w:p>
        </w:tc>
        <w:tc>
          <w:tcPr>
            <w:tcW w:w="702" w:type="dxa"/>
            <w:shd w:val="clear" w:color="auto" w:fill="D9D9D9" w:themeFill="background1" w:themeFillShade="D9"/>
          </w:tcPr>
          <w:p w14:paraId="69981FEA"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D9D9D9" w:themeFill="background1" w:themeFillShade="D9"/>
          </w:tcPr>
          <w:p w14:paraId="69981FEB"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D9D9D9" w:themeFill="background1" w:themeFillShade="D9"/>
          </w:tcPr>
          <w:p w14:paraId="69981FEC" w14:textId="77777777" w:rsidR="001259EE" w:rsidRPr="00637580" w:rsidRDefault="001259EE" w:rsidP="004E5E50">
            <w:pPr>
              <w:spacing w:before="40" w:after="40"/>
              <w:jc w:val="center"/>
              <w:rPr>
                <w:rFonts w:ascii="Arial" w:hAnsi="Arial" w:cs="Arial"/>
                <w:sz w:val="18"/>
                <w:szCs w:val="18"/>
              </w:rPr>
            </w:pPr>
          </w:p>
        </w:tc>
      </w:tr>
      <w:tr w:rsidR="001259EE" w:rsidRPr="00637580" w14:paraId="69981FF2" w14:textId="77777777" w:rsidTr="004E5E50">
        <w:tc>
          <w:tcPr>
            <w:tcW w:w="6912" w:type="dxa"/>
          </w:tcPr>
          <w:p w14:paraId="69981FEE" w14:textId="77777777" w:rsidR="001259EE" w:rsidRPr="00637580" w:rsidRDefault="001259EE" w:rsidP="004E5E50">
            <w:pPr>
              <w:pStyle w:val="ChecklistBullet1"/>
              <w:numPr>
                <w:ilvl w:val="0"/>
                <w:numId w:val="116"/>
              </w:numPr>
              <w:tabs>
                <w:tab w:val="clear" w:pos="3600"/>
                <w:tab w:val="left" w:pos="882"/>
              </w:tabs>
              <w:spacing w:before="40" w:after="40"/>
              <w:rPr>
                <w:rFonts w:ascii="Arial" w:hAnsi="Arial" w:cs="Arial"/>
                <w:sz w:val="18"/>
                <w:szCs w:val="18"/>
              </w:rPr>
            </w:pPr>
            <w:r w:rsidRPr="00637580">
              <w:rPr>
                <w:rFonts w:ascii="Arial" w:hAnsi="Arial" w:cs="Arial"/>
                <w:sz w:val="18"/>
                <w:szCs w:val="18"/>
              </w:rPr>
              <w:t>the quality and frequency of training provided to ensure that agents are aware of the regulatory requirements and the provider’s internal policy guidelines; and</w:t>
            </w:r>
          </w:p>
        </w:tc>
        <w:tc>
          <w:tcPr>
            <w:tcW w:w="702" w:type="dxa"/>
            <w:shd w:val="clear" w:color="auto" w:fill="D9D9D9" w:themeFill="background1" w:themeFillShade="D9"/>
          </w:tcPr>
          <w:p w14:paraId="69981FEF"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D9D9D9" w:themeFill="background1" w:themeFillShade="D9"/>
          </w:tcPr>
          <w:p w14:paraId="69981FF0"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D9D9D9" w:themeFill="background1" w:themeFillShade="D9"/>
          </w:tcPr>
          <w:p w14:paraId="69981FF1" w14:textId="77777777" w:rsidR="001259EE" w:rsidRPr="00637580" w:rsidRDefault="001259EE" w:rsidP="004E5E50">
            <w:pPr>
              <w:spacing w:before="40" w:after="40"/>
              <w:jc w:val="center"/>
              <w:rPr>
                <w:rFonts w:ascii="Arial" w:hAnsi="Arial" w:cs="Arial"/>
                <w:sz w:val="18"/>
                <w:szCs w:val="18"/>
              </w:rPr>
            </w:pPr>
          </w:p>
        </w:tc>
      </w:tr>
      <w:tr w:rsidR="001259EE" w:rsidRPr="00637580" w14:paraId="69981FF7" w14:textId="77777777" w:rsidTr="004E5E50">
        <w:tc>
          <w:tcPr>
            <w:tcW w:w="6912" w:type="dxa"/>
            <w:tcBorders>
              <w:bottom w:val="single" w:sz="4" w:space="0" w:color="auto"/>
            </w:tcBorders>
          </w:tcPr>
          <w:p w14:paraId="69981FF3" w14:textId="77777777" w:rsidR="001259EE" w:rsidRPr="00637580" w:rsidRDefault="001259EE" w:rsidP="004E5E50">
            <w:pPr>
              <w:pStyle w:val="ChecklistBullet1"/>
              <w:numPr>
                <w:ilvl w:val="0"/>
                <w:numId w:val="116"/>
              </w:numPr>
              <w:tabs>
                <w:tab w:val="clear" w:pos="3600"/>
                <w:tab w:val="left" w:pos="882"/>
              </w:tabs>
              <w:spacing w:before="40" w:after="40"/>
              <w:rPr>
                <w:rFonts w:ascii="Arial" w:hAnsi="Arial" w:cs="Arial"/>
                <w:sz w:val="18"/>
                <w:szCs w:val="18"/>
              </w:rPr>
            </w:pPr>
            <w:r w:rsidRPr="00637580">
              <w:rPr>
                <w:rFonts w:ascii="Arial" w:hAnsi="Arial" w:cs="Arial"/>
                <w:sz w:val="18"/>
                <w:szCs w:val="18"/>
              </w:rPr>
              <w:t>the adequacy of the provider’s oversight of agents’ activities.</w:t>
            </w:r>
          </w:p>
        </w:tc>
        <w:tc>
          <w:tcPr>
            <w:tcW w:w="702" w:type="dxa"/>
            <w:tcBorders>
              <w:bottom w:val="single" w:sz="4" w:space="0" w:color="auto"/>
            </w:tcBorders>
            <w:shd w:val="clear" w:color="auto" w:fill="D9D9D9" w:themeFill="background1" w:themeFillShade="D9"/>
          </w:tcPr>
          <w:p w14:paraId="69981FF4" w14:textId="77777777" w:rsidR="001259EE" w:rsidRPr="00637580" w:rsidRDefault="001259EE" w:rsidP="004E5E50">
            <w:pPr>
              <w:spacing w:before="40" w:after="40"/>
              <w:jc w:val="center"/>
              <w:rPr>
                <w:rFonts w:ascii="Arial" w:hAnsi="Arial" w:cs="Arial"/>
                <w:sz w:val="18"/>
                <w:szCs w:val="18"/>
              </w:rPr>
            </w:pPr>
          </w:p>
        </w:tc>
        <w:tc>
          <w:tcPr>
            <w:tcW w:w="702" w:type="dxa"/>
            <w:tcBorders>
              <w:bottom w:val="single" w:sz="4" w:space="0" w:color="auto"/>
            </w:tcBorders>
            <w:shd w:val="clear" w:color="auto" w:fill="D9D9D9" w:themeFill="background1" w:themeFillShade="D9"/>
          </w:tcPr>
          <w:p w14:paraId="69981FF5" w14:textId="77777777" w:rsidR="001259EE" w:rsidRPr="00637580" w:rsidRDefault="001259EE" w:rsidP="004E5E50">
            <w:pPr>
              <w:spacing w:before="40" w:after="40"/>
              <w:jc w:val="center"/>
              <w:rPr>
                <w:rFonts w:ascii="Arial" w:hAnsi="Arial" w:cs="Arial"/>
                <w:sz w:val="18"/>
                <w:szCs w:val="18"/>
              </w:rPr>
            </w:pPr>
          </w:p>
        </w:tc>
        <w:tc>
          <w:tcPr>
            <w:tcW w:w="702" w:type="dxa"/>
            <w:tcBorders>
              <w:bottom w:val="single" w:sz="4" w:space="0" w:color="auto"/>
            </w:tcBorders>
            <w:shd w:val="clear" w:color="auto" w:fill="D9D9D9" w:themeFill="background1" w:themeFillShade="D9"/>
          </w:tcPr>
          <w:p w14:paraId="69981FF6" w14:textId="77777777" w:rsidR="001259EE" w:rsidRPr="00637580" w:rsidRDefault="001259EE" w:rsidP="004E5E50">
            <w:pPr>
              <w:spacing w:before="40" w:after="40"/>
              <w:jc w:val="center"/>
              <w:rPr>
                <w:rFonts w:ascii="Arial" w:hAnsi="Arial" w:cs="Arial"/>
                <w:sz w:val="18"/>
                <w:szCs w:val="18"/>
              </w:rPr>
            </w:pPr>
          </w:p>
        </w:tc>
      </w:tr>
      <w:tr w:rsidR="001259EE" w:rsidRPr="00637580" w14:paraId="69981FFC" w14:textId="77777777" w:rsidTr="004E5E50">
        <w:tc>
          <w:tcPr>
            <w:tcW w:w="6912" w:type="dxa"/>
            <w:shd w:val="clear" w:color="auto" w:fill="D9D9D9" w:themeFill="background1" w:themeFillShade="D9"/>
          </w:tcPr>
          <w:p w14:paraId="69981FF8" w14:textId="77777777" w:rsidR="001259EE" w:rsidRPr="00637580" w:rsidRDefault="001259EE" w:rsidP="004E5E50">
            <w:pPr>
              <w:spacing w:before="40" w:after="40"/>
              <w:rPr>
                <w:rFonts w:ascii="Arial" w:hAnsi="Arial" w:cs="Arial"/>
                <w:sz w:val="18"/>
                <w:szCs w:val="18"/>
              </w:rPr>
            </w:pPr>
            <w:r w:rsidRPr="00637580">
              <w:rPr>
                <w:rFonts w:ascii="Arial" w:hAnsi="Arial" w:cs="Arial"/>
                <w:b/>
                <w:sz w:val="18"/>
                <w:szCs w:val="18"/>
              </w:rPr>
              <w:t>12 CFR 1005.36 – Transfers Scheduled Before the Date of Transfer</w:t>
            </w:r>
          </w:p>
        </w:tc>
        <w:tc>
          <w:tcPr>
            <w:tcW w:w="702" w:type="dxa"/>
            <w:shd w:val="clear" w:color="auto" w:fill="D9D9D9" w:themeFill="background1" w:themeFillShade="D9"/>
          </w:tcPr>
          <w:p w14:paraId="69981FF9"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D9D9D9" w:themeFill="background1" w:themeFillShade="D9"/>
          </w:tcPr>
          <w:p w14:paraId="69981FFA"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D9D9D9" w:themeFill="background1" w:themeFillShade="D9"/>
          </w:tcPr>
          <w:p w14:paraId="69981FFB" w14:textId="77777777" w:rsidR="001259EE" w:rsidRPr="00637580" w:rsidRDefault="001259EE" w:rsidP="004E5E50">
            <w:pPr>
              <w:spacing w:before="40" w:after="40"/>
              <w:jc w:val="center"/>
              <w:rPr>
                <w:rFonts w:ascii="Arial" w:hAnsi="Arial" w:cs="Arial"/>
                <w:sz w:val="18"/>
                <w:szCs w:val="18"/>
              </w:rPr>
            </w:pPr>
          </w:p>
        </w:tc>
      </w:tr>
      <w:tr w:rsidR="001259EE" w:rsidRPr="00637580" w14:paraId="69982003" w14:textId="77777777" w:rsidTr="004E5E50">
        <w:tc>
          <w:tcPr>
            <w:tcW w:w="6912" w:type="dxa"/>
          </w:tcPr>
          <w:p w14:paraId="69981FFD" w14:textId="77777777" w:rsidR="001259EE" w:rsidRPr="00637580" w:rsidRDefault="001259EE" w:rsidP="004E5E50">
            <w:pPr>
              <w:numPr>
                <w:ilvl w:val="0"/>
                <w:numId w:val="99"/>
              </w:numPr>
              <w:spacing w:before="40" w:after="40"/>
              <w:ind w:left="522" w:hanging="522"/>
              <w:rPr>
                <w:rFonts w:ascii="Arial" w:hAnsi="Arial" w:cs="Arial"/>
                <w:sz w:val="18"/>
                <w:szCs w:val="18"/>
              </w:rPr>
            </w:pPr>
            <w:r w:rsidRPr="00637580">
              <w:rPr>
                <w:rFonts w:ascii="Arial" w:hAnsi="Arial" w:cs="Arial"/>
                <w:sz w:val="18"/>
                <w:szCs w:val="18"/>
              </w:rPr>
              <w:t>For one-time transfers scheduled five or more business days in advance or for the first in a series of preauthorized remittance transfers, does the provider provide either a prepayment disclosure and a receipt or a combined disclosure at the time the sender requests the transfer but prior to payment?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1005.36(a)(1)(i))</w:t>
            </w:r>
          </w:p>
          <w:p w14:paraId="69981FFE" w14:textId="77777777" w:rsidR="001259EE" w:rsidRPr="00637580" w:rsidRDefault="001259EE" w:rsidP="004E5E50">
            <w:pPr>
              <w:spacing w:before="40" w:after="40"/>
              <w:ind w:left="522"/>
              <w:rPr>
                <w:rFonts w:ascii="Arial" w:hAnsi="Arial" w:cs="Arial"/>
                <w:sz w:val="18"/>
                <w:szCs w:val="18"/>
              </w:rPr>
            </w:pPr>
          </w:p>
          <w:p w14:paraId="69981FFF" w14:textId="77777777" w:rsidR="001259EE" w:rsidRPr="00637580" w:rsidRDefault="001259EE" w:rsidP="004E5E50">
            <w:pPr>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If any of the disclosures provided contain estimates, the provider must mail or deliver an additional receipt no later than one business day after the date of the transfer. If the transfer involves the transfer of funds from the sender’s account held by the provider, this additional receipt may be provided on or with the next periodic statement for that account, or within 30 days after the date of the transfer if a periodic statement is not provided. (12 CFR 1005.36(a)(1)(ii))</w:t>
            </w:r>
          </w:p>
        </w:tc>
        <w:tc>
          <w:tcPr>
            <w:tcW w:w="702" w:type="dxa"/>
            <w:shd w:val="clear" w:color="auto" w:fill="auto"/>
          </w:tcPr>
          <w:p w14:paraId="69982000"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auto"/>
          </w:tcPr>
          <w:p w14:paraId="69982001" w14:textId="77777777" w:rsidR="001259EE" w:rsidRPr="00637580" w:rsidRDefault="001259EE" w:rsidP="004E5E50">
            <w:pPr>
              <w:spacing w:before="40" w:after="40"/>
              <w:jc w:val="center"/>
              <w:rPr>
                <w:rFonts w:ascii="Arial" w:hAnsi="Arial" w:cs="Arial"/>
                <w:sz w:val="18"/>
                <w:szCs w:val="18"/>
              </w:rPr>
            </w:pPr>
          </w:p>
        </w:tc>
        <w:tc>
          <w:tcPr>
            <w:tcW w:w="702" w:type="dxa"/>
            <w:shd w:val="clear" w:color="auto" w:fill="auto"/>
          </w:tcPr>
          <w:p w14:paraId="69982002" w14:textId="77777777" w:rsidR="001259EE" w:rsidRPr="00637580" w:rsidRDefault="001259EE" w:rsidP="004E5E50">
            <w:pPr>
              <w:spacing w:before="40" w:after="40"/>
              <w:jc w:val="center"/>
              <w:rPr>
                <w:rFonts w:ascii="Arial" w:hAnsi="Arial" w:cs="Arial"/>
                <w:sz w:val="18"/>
                <w:szCs w:val="18"/>
              </w:rPr>
            </w:pPr>
          </w:p>
        </w:tc>
      </w:tr>
    </w:tbl>
    <w:p w14:paraId="69982004" w14:textId="77777777" w:rsidR="003D07CA" w:rsidRPr="00637580" w:rsidRDefault="003D07CA" w:rsidP="003D07CA">
      <w:pPr>
        <w:rPr>
          <w:rFonts w:ascii="Arial" w:hAnsi="Arial" w:cs="Arial"/>
          <w:sz w:val="18"/>
          <w:szCs w:val="18"/>
        </w:rPr>
      </w:pPr>
      <w:r w:rsidRPr="00637580">
        <w:rPr>
          <w:rFonts w:ascii="Arial" w:hAnsi="Arial" w:cs="Arial"/>
          <w:sz w:val="18"/>
          <w:szCs w:val="18"/>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696"/>
        <w:gridCol w:w="696"/>
        <w:gridCol w:w="696"/>
      </w:tblGrid>
      <w:tr w:rsidR="00445CC4" w:rsidRPr="00637580" w14:paraId="69982009" w14:textId="77777777" w:rsidTr="004E5E50">
        <w:trPr>
          <w:tblHeader/>
        </w:trPr>
        <w:tc>
          <w:tcPr>
            <w:tcW w:w="6912" w:type="dxa"/>
          </w:tcPr>
          <w:p w14:paraId="69982005" w14:textId="77777777" w:rsidR="00445CC4" w:rsidRPr="007C7C6F" w:rsidRDefault="00445CC4" w:rsidP="00445CC4">
            <w:pPr>
              <w:spacing w:before="40" w:after="40"/>
              <w:jc w:val="center"/>
              <w:rPr>
                <w:rFonts w:ascii="Arial" w:hAnsi="Arial" w:cs="Arial"/>
                <w:sz w:val="18"/>
                <w:szCs w:val="18"/>
              </w:rPr>
            </w:pPr>
            <w:bookmarkStart w:id="11" w:name="_Toc367367326"/>
            <w:bookmarkStart w:id="12" w:name="_Toc367879926"/>
            <w:bookmarkStart w:id="13" w:name="_Toc374958252"/>
            <w:r w:rsidRPr="00691CA2">
              <w:rPr>
                <w:rFonts w:ascii="Arial" w:hAnsi="Arial" w:cs="Arial"/>
                <w:b/>
                <w:sz w:val="18"/>
                <w:szCs w:val="18"/>
              </w:rPr>
              <w:t>EFTA Worksheet</w:t>
            </w:r>
          </w:p>
        </w:tc>
        <w:tc>
          <w:tcPr>
            <w:tcW w:w="696" w:type="dxa"/>
            <w:shd w:val="clear" w:color="auto" w:fill="auto"/>
          </w:tcPr>
          <w:p w14:paraId="69982006" w14:textId="77777777" w:rsidR="00445CC4" w:rsidRPr="00637580" w:rsidRDefault="00445CC4" w:rsidP="00445CC4">
            <w:pPr>
              <w:spacing w:before="40" w:after="40"/>
              <w:ind w:left="-78" w:hanging="78"/>
              <w:jc w:val="center"/>
              <w:rPr>
                <w:rFonts w:ascii="Arial" w:hAnsi="Arial" w:cs="Arial"/>
                <w:b/>
                <w:sz w:val="18"/>
                <w:szCs w:val="18"/>
              </w:rPr>
            </w:pPr>
            <w:r w:rsidRPr="00637580">
              <w:rPr>
                <w:rFonts w:ascii="Arial" w:hAnsi="Arial" w:cs="Arial"/>
                <w:b/>
                <w:sz w:val="18"/>
                <w:szCs w:val="18"/>
              </w:rPr>
              <w:t>Yes</w:t>
            </w:r>
          </w:p>
        </w:tc>
        <w:tc>
          <w:tcPr>
            <w:tcW w:w="696" w:type="dxa"/>
            <w:shd w:val="clear" w:color="auto" w:fill="auto"/>
          </w:tcPr>
          <w:p w14:paraId="69982007" w14:textId="77777777" w:rsidR="00445CC4" w:rsidRPr="00637580" w:rsidRDefault="00445CC4" w:rsidP="00445CC4">
            <w:pPr>
              <w:spacing w:before="40" w:after="40"/>
              <w:ind w:left="-78" w:hanging="78"/>
              <w:jc w:val="center"/>
              <w:rPr>
                <w:rFonts w:ascii="Arial" w:hAnsi="Arial" w:cs="Arial"/>
                <w:b/>
                <w:sz w:val="18"/>
                <w:szCs w:val="18"/>
              </w:rPr>
            </w:pPr>
            <w:r w:rsidRPr="00637580">
              <w:rPr>
                <w:rFonts w:ascii="Arial" w:hAnsi="Arial" w:cs="Arial"/>
                <w:b/>
                <w:sz w:val="18"/>
                <w:szCs w:val="18"/>
              </w:rPr>
              <w:t>No</w:t>
            </w:r>
          </w:p>
        </w:tc>
        <w:tc>
          <w:tcPr>
            <w:tcW w:w="696" w:type="dxa"/>
            <w:shd w:val="clear" w:color="auto" w:fill="auto"/>
          </w:tcPr>
          <w:p w14:paraId="69982008" w14:textId="77777777" w:rsidR="00445CC4" w:rsidRPr="00637580" w:rsidRDefault="00445CC4" w:rsidP="00445CC4">
            <w:pPr>
              <w:spacing w:before="40" w:after="40"/>
              <w:ind w:left="-78" w:hanging="78"/>
              <w:jc w:val="center"/>
              <w:rPr>
                <w:rFonts w:ascii="Arial" w:hAnsi="Arial" w:cs="Arial"/>
                <w:b/>
                <w:sz w:val="18"/>
                <w:szCs w:val="18"/>
              </w:rPr>
            </w:pPr>
            <w:r w:rsidRPr="00637580">
              <w:rPr>
                <w:rFonts w:ascii="Arial" w:hAnsi="Arial" w:cs="Arial"/>
                <w:b/>
                <w:sz w:val="18"/>
                <w:szCs w:val="18"/>
              </w:rPr>
              <w:t>NA</w:t>
            </w:r>
          </w:p>
        </w:tc>
      </w:tr>
      <w:tr w:rsidR="00445CC4" w:rsidRPr="00637580" w14:paraId="69982010" w14:textId="77777777" w:rsidTr="004E5E50">
        <w:tc>
          <w:tcPr>
            <w:tcW w:w="6912" w:type="dxa"/>
          </w:tcPr>
          <w:p w14:paraId="6998200A" w14:textId="77777777" w:rsidR="00445CC4" w:rsidRPr="00637580" w:rsidRDefault="00445CC4" w:rsidP="00525B7F">
            <w:pPr>
              <w:numPr>
                <w:ilvl w:val="0"/>
                <w:numId w:val="99"/>
              </w:numPr>
              <w:spacing w:before="40" w:after="40"/>
              <w:ind w:left="522" w:hanging="522"/>
              <w:rPr>
                <w:rFonts w:ascii="Arial" w:hAnsi="Arial" w:cs="Arial"/>
                <w:sz w:val="18"/>
                <w:szCs w:val="18"/>
              </w:rPr>
            </w:pPr>
            <w:r w:rsidRPr="00637580">
              <w:rPr>
                <w:rFonts w:ascii="Arial" w:hAnsi="Arial" w:cs="Arial"/>
                <w:sz w:val="18"/>
                <w:szCs w:val="18"/>
              </w:rPr>
              <w:t xml:space="preserve">For each subsequent preauthorized remittance transfer, does the provider provide an updated receipt if any of the information (other than temporal disclosures or disclosures that are permitted to be estimated) on the most recent receipt is no longer accurate? (12 CFR 1005.36(a)(2)(i)) </w:t>
            </w:r>
          </w:p>
          <w:p w14:paraId="6998200B" w14:textId="77777777" w:rsidR="00445CC4" w:rsidRPr="00637580" w:rsidRDefault="00445CC4" w:rsidP="00445CC4">
            <w:pPr>
              <w:spacing w:before="40" w:after="40"/>
              <w:ind w:left="522"/>
              <w:rPr>
                <w:rFonts w:ascii="Arial" w:hAnsi="Arial" w:cs="Arial"/>
                <w:sz w:val="18"/>
                <w:szCs w:val="18"/>
              </w:rPr>
            </w:pPr>
          </w:p>
          <w:p w14:paraId="6998200C" w14:textId="77777777" w:rsidR="00445CC4" w:rsidRPr="00637580" w:rsidRDefault="00445CC4" w:rsidP="00445CC4">
            <w:pPr>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The receipt must clearly and conspicuously indicate that it contains updated disclosures and must be mailed or delivered to the sender within a reasonable time prior to the scheduled date of the next subsequent preauthorized remittance transfer. A disclosure that is mailed no later than </w:t>
            </w:r>
            <w:r>
              <w:rPr>
                <w:rFonts w:ascii="Arial" w:hAnsi="Arial" w:cs="Arial"/>
                <w:sz w:val="18"/>
                <w:szCs w:val="18"/>
              </w:rPr>
              <w:t>10</w:t>
            </w:r>
            <w:r w:rsidRPr="00637580">
              <w:rPr>
                <w:rFonts w:ascii="Arial" w:hAnsi="Arial" w:cs="Arial"/>
                <w:sz w:val="18"/>
                <w:szCs w:val="18"/>
              </w:rPr>
              <w:t xml:space="preserve"> business days </w:t>
            </w:r>
            <w:r>
              <w:rPr>
                <w:rFonts w:ascii="Arial" w:hAnsi="Arial" w:cs="Arial"/>
                <w:sz w:val="18"/>
                <w:szCs w:val="18"/>
              </w:rPr>
              <w:t xml:space="preserve">before the scheduled date of the transfer </w:t>
            </w:r>
            <w:r w:rsidRPr="00637580">
              <w:rPr>
                <w:rFonts w:ascii="Arial" w:hAnsi="Arial" w:cs="Arial"/>
                <w:sz w:val="18"/>
                <w:szCs w:val="18"/>
              </w:rPr>
              <w:t xml:space="preserve">or hand or electronically delivered no later than five business days </w:t>
            </w:r>
            <w:r>
              <w:rPr>
                <w:rFonts w:ascii="Arial" w:hAnsi="Arial" w:cs="Arial"/>
                <w:sz w:val="18"/>
                <w:szCs w:val="18"/>
              </w:rPr>
              <w:t xml:space="preserve">before such date </w:t>
            </w:r>
            <w:r w:rsidRPr="00637580">
              <w:rPr>
                <w:rFonts w:ascii="Arial" w:hAnsi="Arial" w:cs="Arial"/>
                <w:sz w:val="18"/>
                <w:szCs w:val="18"/>
              </w:rPr>
              <w:t>is deemed to have been provided within a reasonable time</w:t>
            </w:r>
            <w:r>
              <w:rPr>
                <w:rFonts w:ascii="Arial" w:hAnsi="Arial" w:cs="Arial"/>
                <w:sz w:val="18"/>
                <w:szCs w:val="18"/>
              </w:rPr>
              <w:t>.</w:t>
            </w:r>
            <w:r w:rsidRPr="00637580">
              <w:rPr>
                <w:rFonts w:ascii="Arial" w:hAnsi="Arial" w:cs="Arial"/>
                <w:sz w:val="18"/>
                <w:szCs w:val="18"/>
              </w:rPr>
              <w:t xml:space="preserve">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 xml:space="preserve">1005.36(a)(2)(i) and staff commentary </w:t>
            </w:r>
            <w:r>
              <w:rPr>
                <w:rFonts w:ascii="Arial" w:hAnsi="Arial" w:cs="Arial"/>
                <w:sz w:val="18"/>
                <w:szCs w:val="18"/>
              </w:rPr>
              <w:t>1005.</w:t>
            </w:r>
            <w:r w:rsidRPr="00637580">
              <w:rPr>
                <w:rFonts w:ascii="Arial" w:hAnsi="Arial" w:cs="Arial"/>
                <w:sz w:val="18"/>
                <w:szCs w:val="18"/>
              </w:rPr>
              <w:t>36(a)(2)</w:t>
            </w:r>
            <w:r>
              <w:rPr>
                <w:rFonts w:ascii="Arial" w:hAnsi="Arial" w:cs="Arial"/>
                <w:sz w:val="18"/>
                <w:szCs w:val="18"/>
              </w:rPr>
              <w:t>–</w:t>
            </w:r>
            <w:r w:rsidRPr="00637580">
              <w:rPr>
                <w:rFonts w:ascii="Arial" w:hAnsi="Arial" w:cs="Arial"/>
                <w:sz w:val="18"/>
                <w:szCs w:val="18"/>
              </w:rPr>
              <w:t xml:space="preserve">3) </w:t>
            </w:r>
          </w:p>
        </w:tc>
        <w:tc>
          <w:tcPr>
            <w:tcW w:w="696" w:type="dxa"/>
            <w:shd w:val="clear" w:color="auto" w:fill="auto"/>
          </w:tcPr>
          <w:p w14:paraId="6998200D" w14:textId="77777777" w:rsidR="00445CC4" w:rsidRPr="00637580" w:rsidRDefault="00445CC4" w:rsidP="00445CC4">
            <w:pPr>
              <w:spacing w:before="40" w:after="40"/>
              <w:jc w:val="center"/>
              <w:rPr>
                <w:rFonts w:ascii="Arial" w:hAnsi="Arial" w:cs="Arial"/>
                <w:sz w:val="18"/>
                <w:szCs w:val="18"/>
              </w:rPr>
            </w:pPr>
          </w:p>
        </w:tc>
        <w:tc>
          <w:tcPr>
            <w:tcW w:w="696" w:type="dxa"/>
            <w:shd w:val="clear" w:color="auto" w:fill="auto"/>
          </w:tcPr>
          <w:p w14:paraId="6998200E" w14:textId="77777777" w:rsidR="00445CC4" w:rsidRPr="00637580" w:rsidRDefault="00445CC4" w:rsidP="00445CC4">
            <w:pPr>
              <w:spacing w:before="40" w:after="40"/>
              <w:jc w:val="center"/>
              <w:rPr>
                <w:rFonts w:ascii="Arial" w:hAnsi="Arial" w:cs="Arial"/>
                <w:sz w:val="18"/>
                <w:szCs w:val="18"/>
              </w:rPr>
            </w:pPr>
          </w:p>
        </w:tc>
        <w:tc>
          <w:tcPr>
            <w:tcW w:w="696" w:type="dxa"/>
            <w:shd w:val="clear" w:color="auto" w:fill="auto"/>
          </w:tcPr>
          <w:p w14:paraId="6998200F" w14:textId="77777777" w:rsidR="00445CC4" w:rsidRPr="00637580" w:rsidRDefault="00445CC4" w:rsidP="00445CC4">
            <w:pPr>
              <w:spacing w:before="40" w:after="40"/>
              <w:jc w:val="center"/>
              <w:rPr>
                <w:rFonts w:ascii="Arial" w:hAnsi="Arial" w:cs="Arial"/>
                <w:sz w:val="18"/>
                <w:szCs w:val="18"/>
              </w:rPr>
            </w:pPr>
          </w:p>
        </w:tc>
      </w:tr>
      <w:tr w:rsidR="00445CC4" w:rsidRPr="00637580" w14:paraId="69982015" w14:textId="77777777" w:rsidTr="004E5E50">
        <w:tc>
          <w:tcPr>
            <w:tcW w:w="6912" w:type="dxa"/>
          </w:tcPr>
          <w:p w14:paraId="69982011" w14:textId="77777777" w:rsidR="00445CC4" w:rsidRPr="00637580" w:rsidRDefault="00445CC4"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 xml:space="preserve">If there is no updated information and the remittance transfer does not involve the transfer of funds from the sender’s account held by the provider, does the provider </w:t>
            </w:r>
            <w:proofErr w:type="gramStart"/>
            <w:r w:rsidRPr="00637580">
              <w:rPr>
                <w:rFonts w:ascii="Arial" w:hAnsi="Arial" w:cs="Arial"/>
                <w:sz w:val="18"/>
                <w:szCs w:val="18"/>
              </w:rPr>
              <w:t>mail</w:t>
            </w:r>
            <w:proofErr w:type="gramEnd"/>
            <w:r w:rsidRPr="00637580">
              <w:rPr>
                <w:rFonts w:ascii="Arial" w:hAnsi="Arial" w:cs="Arial"/>
                <w:sz w:val="18"/>
                <w:szCs w:val="18"/>
              </w:rPr>
              <w:t xml:space="preserve"> or deliver to the sender a receipt no later than one business day after the date of the transfer for each subsequent preauthorized transfer?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1005.36(a)(2)(ii))</w:t>
            </w:r>
          </w:p>
        </w:tc>
        <w:tc>
          <w:tcPr>
            <w:tcW w:w="696" w:type="dxa"/>
            <w:shd w:val="clear" w:color="auto" w:fill="auto"/>
          </w:tcPr>
          <w:p w14:paraId="69982012" w14:textId="77777777" w:rsidR="00445CC4" w:rsidRPr="00637580" w:rsidRDefault="00445CC4" w:rsidP="00445CC4">
            <w:pPr>
              <w:spacing w:before="40" w:after="40"/>
              <w:jc w:val="center"/>
              <w:rPr>
                <w:rFonts w:ascii="Arial" w:hAnsi="Arial" w:cs="Arial"/>
                <w:sz w:val="18"/>
                <w:szCs w:val="18"/>
              </w:rPr>
            </w:pPr>
          </w:p>
        </w:tc>
        <w:tc>
          <w:tcPr>
            <w:tcW w:w="696" w:type="dxa"/>
            <w:shd w:val="clear" w:color="auto" w:fill="auto"/>
          </w:tcPr>
          <w:p w14:paraId="69982013" w14:textId="77777777" w:rsidR="00445CC4" w:rsidRPr="00637580" w:rsidRDefault="00445CC4" w:rsidP="00445CC4">
            <w:pPr>
              <w:spacing w:before="40" w:after="40"/>
              <w:jc w:val="center"/>
              <w:rPr>
                <w:rFonts w:ascii="Arial" w:hAnsi="Arial" w:cs="Arial"/>
                <w:sz w:val="18"/>
                <w:szCs w:val="18"/>
              </w:rPr>
            </w:pPr>
          </w:p>
        </w:tc>
        <w:tc>
          <w:tcPr>
            <w:tcW w:w="696" w:type="dxa"/>
            <w:shd w:val="clear" w:color="auto" w:fill="auto"/>
          </w:tcPr>
          <w:p w14:paraId="69982014" w14:textId="77777777" w:rsidR="00445CC4" w:rsidRPr="00637580" w:rsidRDefault="00445CC4" w:rsidP="00445CC4">
            <w:pPr>
              <w:spacing w:before="40" w:after="40"/>
              <w:jc w:val="center"/>
              <w:rPr>
                <w:rFonts w:ascii="Arial" w:hAnsi="Arial" w:cs="Arial"/>
                <w:sz w:val="18"/>
                <w:szCs w:val="18"/>
              </w:rPr>
            </w:pPr>
          </w:p>
        </w:tc>
      </w:tr>
      <w:tr w:rsidR="00445CC4" w:rsidRPr="00637580" w14:paraId="6998201A" w14:textId="77777777" w:rsidTr="004E5E50">
        <w:tc>
          <w:tcPr>
            <w:tcW w:w="6912" w:type="dxa"/>
          </w:tcPr>
          <w:p w14:paraId="69982016" w14:textId="77777777" w:rsidR="00445CC4" w:rsidRPr="00637580" w:rsidRDefault="00445CC4"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If there is no updated information and the remittance transfer involves the transfer of funds from the sender’s account held by the provider, is the receipt provided on or with the next periodic statement for that account, or within 30 days after the date of the transfer if a periodic statement is not provided? (12</w:t>
            </w:r>
            <w:r>
              <w:rPr>
                <w:rFonts w:ascii="Arial" w:hAnsi="Arial" w:cs="Arial"/>
                <w:sz w:val="18"/>
                <w:szCs w:val="18"/>
              </w:rPr>
              <w:t> </w:t>
            </w:r>
            <w:r w:rsidRPr="00637580">
              <w:rPr>
                <w:rFonts w:ascii="Arial" w:hAnsi="Arial" w:cs="Arial"/>
                <w:sz w:val="18"/>
                <w:szCs w:val="18"/>
              </w:rPr>
              <w:t>CFR</w:t>
            </w:r>
            <w:r>
              <w:rPr>
                <w:rFonts w:ascii="Arial" w:hAnsi="Arial" w:cs="Arial"/>
                <w:sz w:val="18"/>
                <w:szCs w:val="18"/>
              </w:rPr>
              <w:t> </w:t>
            </w:r>
            <w:r w:rsidRPr="00637580">
              <w:rPr>
                <w:rFonts w:ascii="Arial" w:hAnsi="Arial" w:cs="Arial"/>
                <w:sz w:val="18"/>
                <w:szCs w:val="18"/>
              </w:rPr>
              <w:t>1005.36(a)(2)(ii))</w:t>
            </w:r>
          </w:p>
        </w:tc>
        <w:tc>
          <w:tcPr>
            <w:tcW w:w="696" w:type="dxa"/>
            <w:shd w:val="clear" w:color="auto" w:fill="auto"/>
          </w:tcPr>
          <w:p w14:paraId="69982017" w14:textId="77777777" w:rsidR="00445CC4" w:rsidRPr="00637580" w:rsidRDefault="00445CC4" w:rsidP="00445CC4">
            <w:pPr>
              <w:spacing w:before="40" w:after="40"/>
              <w:jc w:val="center"/>
              <w:rPr>
                <w:rFonts w:ascii="Arial" w:hAnsi="Arial" w:cs="Arial"/>
                <w:sz w:val="18"/>
                <w:szCs w:val="18"/>
              </w:rPr>
            </w:pPr>
          </w:p>
        </w:tc>
        <w:tc>
          <w:tcPr>
            <w:tcW w:w="696" w:type="dxa"/>
            <w:shd w:val="clear" w:color="auto" w:fill="auto"/>
          </w:tcPr>
          <w:p w14:paraId="69982018" w14:textId="77777777" w:rsidR="00445CC4" w:rsidRPr="00637580" w:rsidRDefault="00445CC4" w:rsidP="00445CC4">
            <w:pPr>
              <w:spacing w:before="40" w:after="40"/>
              <w:jc w:val="center"/>
              <w:rPr>
                <w:rFonts w:ascii="Arial" w:hAnsi="Arial" w:cs="Arial"/>
                <w:sz w:val="18"/>
                <w:szCs w:val="18"/>
              </w:rPr>
            </w:pPr>
          </w:p>
        </w:tc>
        <w:tc>
          <w:tcPr>
            <w:tcW w:w="696" w:type="dxa"/>
            <w:shd w:val="clear" w:color="auto" w:fill="auto"/>
          </w:tcPr>
          <w:p w14:paraId="69982019" w14:textId="77777777" w:rsidR="00445CC4" w:rsidRPr="00637580" w:rsidRDefault="00445CC4" w:rsidP="00445CC4">
            <w:pPr>
              <w:spacing w:before="40" w:after="40"/>
              <w:jc w:val="center"/>
              <w:rPr>
                <w:rFonts w:ascii="Arial" w:hAnsi="Arial" w:cs="Arial"/>
                <w:sz w:val="18"/>
                <w:szCs w:val="18"/>
              </w:rPr>
            </w:pPr>
          </w:p>
        </w:tc>
      </w:tr>
      <w:tr w:rsidR="00445CC4" w:rsidRPr="00637580" w14:paraId="69982021" w14:textId="77777777" w:rsidTr="004E5E50">
        <w:tc>
          <w:tcPr>
            <w:tcW w:w="6912" w:type="dxa"/>
          </w:tcPr>
          <w:p w14:paraId="6998201B" w14:textId="77777777" w:rsidR="00445CC4" w:rsidRPr="00637580" w:rsidRDefault="00445CC4" w:rsidP="00525B7F">
            <w:pPr>
              <w:numPr>
                <w:ilvl w:val="0"/>
                <w:numId w:val="99"/>
              </w:numPr>
              <w:spacing w:before="40" w:after="40"/>
              <w:ind w:left="522" w:hanging="540"/>
              <w:rPr>
                <w:rFonts w:ascii="Arial" w:hAnsi="Arial" w:cs="Arial"/>
                <w:sz w:val="18"/>
                <w:szCs w:val="18"/>
              </w:rPr>
            </w:pPr>
            <w:r w:rsidRPr="00637580">
              <w:rPr>
                <w:rFonts w:ascii="Arial" w:hAnsi="Arial" w:cs="Arial"/>
                <w:sz w:val="18"/>
                <w:szCs w:val="18"/>
              </w:rPr>
              <w:t xml:space="preserve">For any subsequent transfer in a series of preauthorized remittance transfers, does the provider disclose the date of the subsequent transfer using the term “Future Transfer Date” or a substantially similar term, a statement of the sender’s cancellation rights, and the name, telephone number(s), and </w:t>
            </w:r>
            <w:r>
              <w:rPr>
                <w:rFonts w:ascii="Arial" w:hAnsi="Arial" w:cs="Arial"/>
                <w:sz w:val="18"/>
                <w:szCs w:val="18"/>
              </w:rPr>
              <w:t xml:space="preserve">Web </w:t>
            </w:r>
            <w:r w:rsidRPr="00637580">
              <w:rPr>
                <w:rFonts w:ascii="Arial" w:hAnsi="Arial" w:cs="Arial"/>
                <w:sz w:val="18"/>
                <w:szCs w:val="18"/>
              </w:rPr>
              <w:t xml:space="preserve">site of the remittance transfer provider no more than 12 months, and no less than </w:t>
            </w:r>
            <w:r>
              <w:rPr>
                <w:rFonts w:ascii="Arial" w:hAnsi="Arial" w:cs="Arial"/>
                <w:sz w:val="18"/>
                <w:szCs w:val="18"/>
              </w:rPr>
              <w:t>five</w:t>
            </w:r>
            <w:r w:rsidRPr="00637580">
              <w:rPr>
                <w:rFonts w:ascii="Arial" w:hAnsi="Arial" w:cs="Arial"/>
                <w:sz w:val="18"/>
                <w:szCs w:val="18"/>
              </w:rPr>
              <w:t xml:space="preserve"> business days prior to, the date of the subsequent preauthorized remittance transfer? (12 CFR 1005.36(d)) </w:t>
            </w:r>
          </w:p>
          <w:p w14:paraId="6998201C" w14:textId="77777777" w:rsidR="00445CC4" w:rsidRPr="00637580" w:rsidRDefault="00445CC4" w:rsidP="00445CC4">
            <w:pPr>
              <w:pStyle w:val="ChecklistBullet1"/>
              <w:numPr>
                <w:ilvl w:val="0"/>
                <w:numId w:val="0"/>
              </w:numPr>
              <w:spacing w:before="40" w:after="40"/>
              <w:ind w:left="162"/>
              <w:rPr>
                <w:rFonts w:ascii="Arial" w:hAnsi="Arial" w:cs="Arial"/>
                <w:sz w:val="18"/>
                <w:szCs w:val="18"/>
              </w:rPr>
            </w:pPr>
          </w:p>
          <w:p w14:paraId="6998201D" w14:textId="77777777" w:rsidR="00445CC4" w:rsidRPr="00637580" w:rsidRDefault="00445CC4" w:rsidP="00445CC4">
            <w:pPr>
              <w:spacing w:before="40" w:after="40"/>
              <w:ind w:left="522"/>
              <w:rPr>
                <w:rFonts w:ascii="Arial" w:hAnsi="Arial" w:cs="Arial"/>
                <w:sz w:val="18"/>
                <w:szCs w:val="18"/>
              </w:rPr>
            </w:pPr>
            <w:r w:rsidRPr="00637580">
              <w:rPr>
                <w:rFonts w:ascii="Arial" w:hAnsi="Arial" w:cs="Arial"/>
                <w:b/>
                <w:sz w:val="18"/>
                <w:szCs w:val="18"/>
              </w:rPr>
              <w:t>Note:</w:t>
            </w:r>
            <w:r w:rsidRPr="00637580">
              <w:rPr>
                <w:rFonts w:ascii="Arial" w:hAnsi="Arial" w:cs="Arial"/>
                <w:sz w:val="18"/>
                <w:szCs w:val="18"/>
              </w:rPr>
              <w:t xml:space="preserve"> While the rule generally provides flexibility as to when and where future transfer dates may be disclosed, for any subsequent preauthorized remittance transfer for which the date of transfer is four or fewer business days after the date payment is made, the disclosure must generally be provided on or with the receipt for the initial transfer in that series</w:t>
            </w:r>
            <w:r>
              <w:rPr>
                <w:rFonts w:ascii="Arial" w:hAnsi="Arial" w:cs="Arial"/>
                <w:sz w:val="18"/>
                <w:szCs w:val="18"/>
              </w:rPr>
              <w:t>.</w:t>
            </w:r>
            <w:r w:rsidRPr="00637580">
              <w:rPr>
                <w:rFonts w:ascii="Arial" w:hAnsi="Arial" w:cs="Arial"/>
                <w:sz w:val="18"/>
                <w:szCs w:val="18"/>
              </w:rPr>
              <w:t xml:space="preserve"> (12</w:t>
            </w:r>
            <w:r>
              <w:rPr>
                <w:rFonts w:ascii="Arial" w:hAnsi="Arial" w:cs="Arial"/>
                <w:sz w:val="18"/>
                <w:szCs w:val="18"/>
              </w:rPr>
              <w:t> </w:t>
            </w:r>
            <w:r w:rsidRPr="007C7C6F">
              <w:rPr>
                <w:rFonts w:ascii="Arial" w:hAnsi="Arial" w:cs="Arial"/>
                <w:sz w:val="18"/>
                <w:szCs w:val="18"/>
              </w:rPr>
              <w:t>CFR</w:t>
            </w:r>
            <w:r>
              <w:rPr>
                <w:rFonts w:ascii="Arial" w:hAnsi="Arial" w:cs="Arial"/>
                <w:sz w:val="18"/>
                <w:szCs w:val="18"/>
              </w:rPr>
              <w:t> </w:t>
            </w:r>
            <w:r w:rsidRPr="007C7C6F">
              <w:rPr>
                <w:rFonts w:ascii="Arial" w:hAnsi="Arial" w:cs="Arial"/>
                <w:sz w:val="18"/>
                <w:szCs w:val="18"/>
              </w:rPr>
              <w:t>100</w:t>
            </w:r>
            <w:r w:rsidRPr="00637580">
              <w:rPr>
                <w:rFonts w:ascii="Arial" w:hAnsi="Arial" w:cs="Arial"/>
                <w:sz w:val="18"/>
                <w:szCs w:val="18"/>
              </w:rPr>
              <w:t xml:space="preserve">5.36(d)(2)(ii)) </w:t>
            </w:r>
          </w:p>
        </w:tc>
        <w:tc>
          <w:tcPr>
            <w:tcW w:w="696" w:type="dxa"/>
            <w:shd w:val="clear" w:color="auto" w:fill="auto"/>
          </w:tcPr>
          <w:p w14:paraId="6998201E" w14:textId="77777777" w:rsidR="00445CC4" w:rsidRPr="00637580" w:rsidRDefault="00445CC4" w:rsidP="00445CC4">
            <w:pPr>
              <w:spacing w:before="40" w:after="40"/>
              <w:jc w:val="center"/>
              <w:rPr>
                <w:rFonts w:ascii="Arial" w:hAnsi="Arial" w:cs="Arial"/>
                <w:sz w:val="18"/>
                <w:szCs w:val="18"/>
              </w:rPr>
            </w:pPr>
          </w:p>
        </w:tc>
        <w:tc>
          <w:tcPr>
            <w:tcW w:w="696" w:type="dxa"/>
            <w:shd w:val="clear" w:color="auto" w:fill="auto"/>
          </w:tcPr>
          <w:p w14:paraId="6998201F" w14:textId="77777777" w:rsidR="00445CC4" w:rsidRPr="00637580" w:rsidRDefault="00445CC4" w:rsidP="00445CC4">
            <w:pPr>
              <w:spacing w:before="40" w:after="40"/>
              <w:jc w:val="center"/>
              <w:rPr>
                <w:rFonts w:ascii="Arial" w:hAnsi="Arial" w:cs="Arial"/>
                <w:sz w:val="18"/>
                <w:szCs w:val="18"/>
              </w:rPr>
            </w:pPr>
          </w:p>
        </w:tc>
        <w:tc>
          <w:tcPr>
            <w:tcW w:w="696" w:type="dxa"/>
            <w:shd w:val="clear" w:color="auto" w:fill="auto"/>
          </w:tcPr>
          <w:p w14:paraId="69982020" w14:textId="77777777" w:rsidR="00445CC4" w:rsidRPr="00637580" w:rsidRDefault="00445CC4" w:rsidP="00445CC4">
            <w:pPr>
              <w:spacing w:before="40" w:after="40"/>
              <w:jc w:val="center"/>
              <w:rPr>
                <w:rFonts w:ascii="Arial" w:hAnsi="Arial" w:cs="Arial"/>
                <w:sz w:val="18"/>
                <w:szCs w:val="18"/>
              </w:rPr>
            </w:pPr>
          </w:p>
        </w:tc>
      </w:tr>
      <w:tr w:rsidR="00445CC4" w:rsidRPr="00637580" w14:paraId="6998202A" w14:textId="77777777" w:rsidTr="004E5E50">
        <w:tc>
          <w:tcPr>
            <w:tcW w:w="6912" w:type="dxa"/>
          </w:tcPr>
          <w:p w14:paraId="69982022" w14:textId="77777777" w:rsidR="00445CC4" w:rsidRPr="00637580" w:rsidRDefault="00445CC4" w:rsidP="00525B7F">
            <w:pPr>
              <w:keepNext/>
              <w:numPr>
                <w:ilvl w:val="0"/>
                <w:numId w:val="99"/>
              </w:numPr>
              <w:spacing w:before="40" w:after="40"/>
              <w:ind w:left="522" w:hanging="522"/>
              <w:rPr>
                <w:rFonts w:ascii="Arial" w:hAnsi="Arial" w:cs="Arial"/>
                <w:sz w:val="18"/>
                <w:szCs w:val="18"/>
              </w:rPr>
            </w:pPr>
            <w:r w:rsidRPr="00637580">
              <w:rPr>
                <w:rFonts w:ascii="Arial" w:hAnsi="Arial" w:cs="Arial"/>
                <w:sz w:val="18"/>
                <w:szCs w:val="18"/>
              </w:rPr>
              <w:t>Does the provider comply with any oral or written request to cancel any remittance transfer scheduled by the sender at least three business days before the date of the remittance transfer? (12 CFR 1005.36(c))</w:t>
            </w:r>
          </w:p>
          <w:p w14:paraId="69982023" w14:textId="77777777" w:rsidR="00445CC4" w:rsidRPr="00637580" w:rsidRDefault="00445CC4" w:rsidP="00445CC4">
            <w:pPr>
              <w:keepNext/>
              <w:spacing w:before="40" w:after="40"/>
              <w:ind w:left="522"/>
              <w:rPr>
                <w:rFonts w:ascii="Arial" w:hAnsi="Arial" w:cs="Arial"/>
                <w:sz w:val="18"/>
                <w:szCs w:val="18"/>
              </w:rPr>
            </w:pPr>
          </w:p>
          <w:p w14:paraId="69982024" w14:textId="77777777" w:rsidR="00445CC4" w:rsidRPr="00637580" w:rsidRDefault="00445CC4" w:rsidP="00445CC4">
            <w:pPr>
              <w:keepNext/>
              <w:spacing w:before="40" w:after="40"/>
              <w:ind w:left="522"/>
              <w:rPr>
                <w:rFonts w:ascii="Arial" w:hAnsi="Arial" w:cs="Arial"/>
                <w:sz w:val="18"/>
                <w:szCs w:val="18"/>
              </w:rPr>
            </w:pPr>
            <w:r w:rsidRPr="00637580">
              <w:rPr>
                <w:rFonts w:ascii="Arial" w:hAnsi="Arial" w:cs="Arial"/>
                <w:b/>
                <w:sz w:val="18"/>
                <w:szCs w:val="18"/>
              </w:rPr>
              <w:t xml:space="preserve">Note: </w:t>
            </w:r>
            <w:r w:rsidRPr="00637580">
              <w:rPr>
                <w:rFonts w:ascii="Arial" w:hAnsi="Arial" w:cs="Arial"/>
                <w:sz w:val="18"/>
                <w:szCs w:val="18"/>
              </w:rPr>
              <w:t>The request to cancel must</w:t>
            </w:r>
          </w:p>
          <w:p w14:paraId="69982025" w14:textId="77777777" w:rsidR="00445CC4" w:rsidRPr="00637580" w:rsidRDefault="00445CC4" w:rsidP="00525B7F">
            <w:pPr>
              <w:pStyle w:val="ListParagraph"/>
              <w:numPr>
                <w:ilvl w:val="0"/>
                <w:numId w:val="117"/>
              </w:numPr>
              <w:spacing w:before="40" w:after="40"/>
              <w:rPr>
                <w:rFonts w:ascii="Arial" w:hAnsi="Arial" w:cs="Arial"/>
                <w:sz w:val="18"/>
                <w:szCs w:val="18"/>
              </w:rPr>
            </w:pPr>
            <w:r w:rsidRPr="00637580">
              <w:rPr>
                <w:rFonts w:ascii="Arial" w:hAnsi="Arial" w:cs="Arial"/>
                <w:sz w:val="18"/>
                <w:szCs w:val="18"/>
              </w:rPr>
              <w:t>enable the provider to identify the sender’s name and address or telephone number and the particular transfer to be cancelled; and</w:t>
            </w:r>
          </w:p>
          <w:p w14:paraId="69982026" w14:textId="77777777" w:rsidR="00445CC4" w:rsidRPr="00637580" w:rsidRDefault="00445CC4" w:rsidP="00525B7F">
            <w:pPr>
              <w:pStyle w:val="ListParagraph"/>
              <w:numPr>
                <w:ilvl w:val="0"/>
                <w:numId w:val="117"/>
              </w:numPr>
              <w:spacing w:before="40" w:after="40"/>
              <w:rPr>
                <w:rFonts w:ascii="Arial" w:hAnsi="Arial" w:cs="Arial"/>
                <w:sz w:val="18"/>
                <w:szCs w:val="18"/>
              </w:rPr>
            </w:pPr>
            <w:r w:rsidRPr="00637580">
              <w:rPr>
                <w:rFonts w:ascii="Arial" w:hAnsi="Arial" w:cs="Arial"/>
                <w:sz w:val="18"/>
                <w:szCs w:val="18"/>
              </w:rPr>
              <w:t>be received by the provider at least three business days before the scheduled date of the remittance transfer. (12 CFR 1005.36(c))</w:t>
            </w:r>
          </w:p>
        </w:tc>
        <w:tc>
          <w:tcPr>
            <w:tcW w:w="696" w:type="dxa"/>
            <w:shd w:val="clear" w:color="auto" w:fill="auto"/>
          </w:tcPr>
          <w:p w14:paraId="69982027" w14:textId="77777777" w:rsidR="00445CC4" w:rsidRPr="00637580" w:rsidRDefault="00445CC4" w:rsidP="00445CC4">
            <w:pPr>
              <w:spacing w:before="40" w:after="40"/>
              <w:jc w:val="center"/>
              <w:rPr>
                <w:rFonts w:ascii="Arial" w:hAnsi="Arial" w:cs="Arial"/>
                <w:sz w:val="18"/>
                <w:szCs w:val="18"/>
              </w:rPr>
            </w:pPr>
          </w:p>
        </w:tc>
        <w:tc>
          <w:tcPr>
            <w:tcW w:w="696" w:type="dxa"/>
            <w:shd w:val="clear" w:color="auto" w:fill="auto"/>
          </w:tcPr>
          <w:p w14:paraId="69982028" w14:textId="77777777" w:rsidR="00445CC4" w:rsidRPr="00637580" w:rsidRDefault="00445CC4" w:rsidP="00445CC4">
            <w:pPr>
              <w:spacing w:before="40" w:after="40"/>
              <w:jc w:val="center"/>
              <w:rPr>
                <w:rFonts w:ascii="Arial" w:hAnsi="Arial" w:cs="Arial"/>
                <w:sz w:val="18"/>
                <w:szCs w:val="18"/>
              </w:rPr>
            </w:pPr>
          </w:p>
        </w:tc>
        <w:tc>
          <w:tcPr>
            <w:tcW w:w="696" w:type="dxa"/>
            <w:shd w:val="clear" w:color="auto" w:fill="auto"/>
          </w:tcPr>
          <w:p w14:paraId="69982029" w14:textId="77777777" w:rsidR="00445CC4" w:rsidRPr="00637580" w:rsidRDefault="00445CC4" w:rsidP="00445CC4">
            <w:pPr>
              <w:spacing w:before="40" w:after="40"/>
              <w:rPr>
                <w:rFonts w:ascii="Arial" w:hAnsi="Arial" w:cs="Arial"/>
                <w:sz w:val="18"/>
                <w:szCs w:val="18"/>
              </w:rPr>
            </w:pPr>
          </w:p>
        </w:tc>
      </w:tr>
      <w:bookmarkEnd w:id="11"/>
      <w:bookmarkEnd w:id="12"/>
      <w:bookmarkEnd w:id="13"/>
      <w:bookmarkEnd w:id="4"/>
      <w:bookmarkEnd w:id="5"/>
      <w:bookmarkEnd w:id="6"/>
    </w:tbl>
    <w:p w14:paraId="69982083" w14:textId="77777777" w:rsidR="0083629C" w:rsidRDefault="0083629C" w:rsidP="00B77CA5">
      <w:pPr>
        <w:rPr>
          <w:color w:val="000000"/>
        </w:rPr>
      </w:pPr>
    </w:p>
    <w:sectPr w:rsidR="0083629C" w:rsidSect="00A6739D">
      <w:headerReference w:type="default" r:id="rId12"/>
      <w:footerReference w:type="default" r:id="rId13"/>
      <w:pgSz w:w="12240" w:h="15840"/>
      <w:pgMar w:top="1440" w:right="1440" w:bottom="1440" w:left="1800" w:header="720" w:footer="720" w:gutter="0"/>
      <w:pgNumType w:start="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82087" w14:textId="77777777" w:rsidR="00083FC9" w:rsidRDefault="00083FC9">
      <w:r>
        <w:separator/>
      </w:r>
    </w:p>
  </w:endnote>
  <w:endnote w:type="continuationSeparator" w:id="0">
    <w:p w14:paraId="69982088" w14:textId="77777777" w:rsidR="00083FC9" w:rsidRDefault="00083FC9">
      <w:r>
        <w:continuationSeparator/>
      </w:r>
    </w:p>
  </w:endnote>
  <w:endnote w:type="continuationNotice" w:id="1">
    <w:p w14:paraId="69982089" w14:textId="77777777" w:rsidR="00083FC9" w:rsidRDefault="00083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CD35A" w14:textId="5B78CF00" w:rsidR="00A6739D" w:rsidRPr="00A6739D" w:rsidRDefault="00A6739D" w:rsidP="00A6739D">
    <w:pPr>
      <w:pStyle w:val="Footer"/>
      <w:pBdr>
        <w:top w:val="single" w:sz="4" w:space="1" w:color="auto"/>
      </w:pBdr>
      <w:tabs>
        <w:tab w:val="clear" w:pos="8640"/>
        <w:tab w:val="right" w:pos="9000"/>
      </w:tabs>
      <w:ind w:left="-720"/>
      <w:jc w:val="center"/>
      <w:rPr>
        <w:rFonts w:ascii="Arial" w:hAnsi="Arial" w:cs="Arial"/>
        <w:sz w:val="20"/>
      </w:rPr>
    </w:pPr>
    <w:r w:rsidRPr="00E62ED9">
      <w:rPr>
        <w:rFonts w:ascii="Arial" w:hAnsi="Arial" w:cs="Arial"/>
        <w:sz w:val="20"/>
      </w:rPr>
      <w:t>Comptroller’s Handbook</w:t>
    </w:r>
    <w:r w:rsidRPr="00E62ED9">
      <w:rPr>
        <w:rFonts w:ascii="Arial" w:hAnsi="Arial" w:cs="Arial"/>
        <w:sz w:val="20"/>
      </w:rPr>
      <w:tab/>
    </w:r>
    <w:sdt>
      <w:sdtPr>
        <w:rPr>
          <w:rFonts w:ascii="Arial" w:hAnsi="Arial" w:cs="Arial"/>
          <w:sz w:val="20"/>
        </w:rPr>
        <w:id w:val="-1888482358"/>
        <w:docPartObj>
          <w:docPartGallery w:val="Page Numbers (Bottom of Page)"/>
          <w:docPartUnique/>
        </w:docPartObj>
      </w:sdtPr>
      <w:sdtEndPr>
        <w:rPr>
          <w:noProof/>
        </w:rPr>
      </w:sdtEndPr>
      <w:sdtContent>
        <w:r w:rsidRPr="00E62ED9">
          <w:rPr>
            <w:rFonts w:ascii="Arial" w:hAnsi="Arial" w:cs="Arial"/>
            <w:sz w:val="20"/>
          </w:rPr>
          <w:fldChar w:fldCharType="begin"/>
        </w:r>
        <w:r w:rsidRPr="00E62ED9">
          <w:rPr>
            <w:rFonts w:ascii="Arial" w:hAnsi="Arial" w:cs="Arial"/>
            <w:sz w:val="20"/>
          </w:rPr>
          <w:instrText xml:space="preserve"> PAGE   \* MERGEFORMAT </w:instrText>
        </w:r>
        <w:r w:rsidRPr="00E62ED9">
          <w:rPr>
            <w:rFonts w:ascii="Arial" w:hAnsi="Arial" w:cs="Arial"/>
            <w:sz w:val="20"/>
          </w:rPr>
          <w:fldChar w:fldCharType="separate"/>
        </w:r>
        <w:r w:rsidR="00390AA2">
          <w:rPr>
            <w:rFonts w:ascii="Arial" w:hAnsi="Arial" w:cs="Arial"/>
            <w:noProof/>
            <w:sz w:val="20"/>
          </w:rPr>
          <w:t>68</w:t>
        </w:r>
        <w:r w:rsidRPr="00E62ED9">
          <w:rPr>
            <w:rFonts w:ascii="Arial" w:hAnsi="Arial" w:cs="Arial"/>
            <w:noProof/>
            <w:sz w:val="20"/>
          </w:rPr>
          <w:fldChar w:fldCharType="end"/>
        </w:r>
        <w:r w:rsidRPr="00E62ED9">
          <w:rPr>
            <w:rFonts w:ascii="Arial" w:hAnsi="Arial" w:cs="Arial"/>
            <w:noProof/>
            <w:sz w:val="20"/>
          </w:rPr>
          <w:tab/>
        </w:r>
        <w:r>
          <w:rPr>
            <w:rFonts w:ascii="Arial" w:hAnsi="Arial" w:cs="Arial"/>
            <w:noProof/>
            <w:sz w:val="20"/>
          </w:rPr>
          <w:t>Electronic Fund Transfer Act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82084" w14:textId="77777777" w:rsidR="00083FC9" w:rsidRDefault="00083FC9">
      <w:r>
        <w:separator/>
      </w:r>
    </w:p>
  </w:footnote>
  <w:footnote w:type="continuationSeparator" w:id="0">
    <w:p w14:paraId="69982085" w14:textId="77777777" w:rsidR="00083FC9" w:rsidRDefault="00083FC9">
      <w:r>
        <w:continuationSeparator/>
      </w:r>
    </w:p>
  </w:footnote>
  <w:footnote w:type="continuationNotice" w:id="1">
    <w:p w14:paraId="69982086" w14:textId="77777777" w:rsidR="00083FC9" w:rsidRDefault="00083F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2093" w14:textId="211D7FDF" w:rsidR="00083FC9" w:rsidRPr="004B6DBC" w:rsidRDefault="00586EAC" w:rsidP="00586EAC">
    <w:pPr>
      <w:pStyle w:val="Header"/>
      <w:tabs>
        <w:tab w:val="clear" w:pos="4680"/>
        <w:tab w:val="clear" w:pos="9360"/>
        <w:tab w:val="right" w:pos="9000"/>
      </w:tabs>
      <w:jc w:val="right"/>
      <w:rPr>
        <w:rFonts w:ascii="Arial" w:hAnsi="Arial" w:cs="Arial"/>
        <w:sz w:val="20"/>
        <w:szCs w:val="20"/>
      </w:rPr>
    </w:pPr>
    <w:r w:rsidRPr="00B16350">
      <w:rPr>
        <w:rFonts w:ascii="Arial" w:hAnsi="Arial" w:cs="Arial"/>
        <w:sz w:val="20"/>
        <w:szCs w:val="20"/>
      </w:rPr>
      <w:t>V</w:t>
    </w:r>
    <w:r>
      <w:rPr>
        <w:rFonts w:ascii="Arial" w:hAnsi="Arial" w:cs="Arial"/>
        <w:sz w:val="20"/>
        <w:szCs w:val="20"/>
      </w:rPr>
      <w:t>ersion 2.0</w:t>
    </w:r>
    <w:r w:rsidRPr="00B16350">
      <w:rPr>
        <w:rFonts w:ascii="Arial" w:hAnsi="Arial" w:cs="Arial"/>
        <w:sz w:val="20"/>
        <w:szCs w:val="20"/>
      </w:rPr>
      <w:tab/>
    </w:r>
    <w:r w:rsidR="00C02429">
      <w:rPr>
        <w:rFonts w:ascii="Arial" w:hAnsi="Arial" w:cs="Arial"/>
        <w:b/>
        <w:sz w:val="20"/>
        <w:szCs w:val="20"/>
      </w:rPr>
      <w:t xml:space="preserve">Examination Procedures </w:t>
    </w:r>
    <w:r w:rsidR="00C02429" w:rsidRPr="00C02429">
      <w:rPr>
        <w:rFonts w:ascii="Arial" w:hAnsi="Arial" w:cs="Arial"/>
        <w:sz w:val="20"/>
        <w:szCs w:val="20"/>
      </w:rPr>
      <w:t>&gt; EFTA 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2E53"/>
    <w:multiLevelType w:val="hybridMultilevel"/>
    <w:tmpl w:val="C5E80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D3CEC"/>
    <w:multiLevelType w:val="hybridMultilevel"/>
    <w:tmpl w:val="E8BC3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A633E"/>
    <w:multiLevelType w:val="hybridMultilevel"/>
    <w:tmpl w:val="1790553A"/>
    <w:lvl w:ilvl="0" w:tplc="04090001">
      <w:start w:val="1"/>
      <w:numFmt w:val="bullet"/>
      <w:lvlText w:val=""/>
      <w:lvlJc w:val="left"/>
      <w:pPr>
        <w:ind w:left="360" w:hanging="72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6A05B7B"/>
    <w:multiLevelType w:val="hybridMultilevel"/>
    <w:tmpl w:val="8F74B9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E0997"/>
    <w:multiLevelType w:val="hybridMultilevel"/>
    <w:tmpl w:val="08B0CB5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15:restartNumberingAfterBreak="0">
    <w:nsid w:val="07B44588"/>
    <w:multiLevelType w:val="hybridMultilevel"/>
    <w:tmpl w:val="6A9AFD20"/>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6" w15:restartNumberingAfterBreak="0">
    <w:nsid w:val="08D160EE"/>
    <w:multiLevelType w:val="hybridMultilevel"/>
    <w:tmpl w:val="9A926192"/>
    <w:lvl w:ilvl="0" w:tplc="B4A0F188">
      <w:start w:val="12"/>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094A1B21"/>
    <w:multiLevelType w:val="hybridMultilevel"/>
    <w:tmpl w:val="063E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C2A76"/>
    <w:multiLevelType w:val="hybridMultilevel"/>
    <w:tmpl w:val="61289D2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0A3119E3"/>
    <w:multiLevelType w:val="hybridMultilevel"/>
    <w:tmpl w:val="C04E208A"/>
    <w:lvl w:ilvl="0" w:tplc="04090001">
      <w:start w:val="1"/>
      <w:numFmt w:val="bullet"/>
      <w:lvlText w:val=""/>
      <w:lvlJc w:val="left"/>
      <w:pPr>
        <w:tabs>
          <w:tab w:val="num" w:pos="882"/>
        </w:tabs>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15:restartNumberingAfterBreak="0">
    <w:nsid w:val="0AE47094"/>
    <w:multiLevelType w:val="hybridMultilevel"/>
    <w:tmpl w:val="62D4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1B44A7"/>
    <w:multiLevelType w:val="hybridMultilevel"/>
    <w:tmpl w:val="80EE8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9329CC"/>
    <w:multiLevelType w:val="hybridMultilevel"/>
    <w:tmpl w:val="12B4F47A"/>
    <w:lvl w:ilvl="0" w:tplc="04090001">
      <w:start w:val="1"/>
      <w:numFmt w:val="bullet"/>
      <w:lvlText w:val=""/>
      <w:lvlJc w:val="left"/>
      <w:pPr>
        <w:ind w:left="360" w:hanging="360"/>
      </w:pPr>
      <w:rPr>
        <w:rFonts w:ascii="Symbol" w:hAnsi="Symbol" w:hint="default"/>
      </w:rPr>
    </w:lvl>
    <w:lvl w:ilvl="1" w:tplc="A1640084">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A90437"/>
    <w:multiLevelType w:val="hybridMultilevel"/>
    <w:tmpl w:val="A446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CD5EA8"/>
    <w:multiLevelType w:val="multilevel"/>
    <w:tmpl w:val="8BCC9232"/>
    <w:styleLink w:val="StyleBulletseries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F6B3F"/>
    <w:multiLevelType w:val="hybridMultilevel"/>
    <w:tmpl w:val="25C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5F2CED"/>
    <w:multiLevelType w:val="hybridMultilevel"/>
    <w:tmpl w:val="574465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687595"/>
    <w:multiLevelType w:val="hybridMultilevel"/>
    <w:tmpl w:val="4F166170"/>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8" w15:restartNumberingAfterBreak="0">
    <w:nsid w:val="0DD674AB"/>
    <w:multiLevelType w:val="hybridMultilevel"/>
    <w:tmpl w:val="FFB671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E690573"/>
    <w:multiLevelType w:val="hybridMultilevel"/>
    <w:tmpl w:val="6AFC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B32DE3"/>
    <w:multiLevelType w:val="hybridMultilevel"/>
    <w:tmpl w:val="11D2E8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A83F7D"/>
    <w:multiLevelType w:val="hybridMultilevel"/>
    <w:tmpl w:val="5AE68A58"/>
    <w:lvl w:ilvl="0" w:tplc="B2281E20">
      <w:start w:val="9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D158A9"/>
    <w:multiLevelType w:val="hybridMultilevel"/>
    <w:tmpl w:val="0A4EC0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0FF4669"/>
    <w:multiLevelType w:val="multilevel"/>
    <w:tmpl w:val="8BCC9232"/>
    <w:styleLink w:val="Bulletseries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3F2CA8"/>
    <w:multiLevelType w:val="hybridMultilevel"/>
    <w:tmpl w:val="925659F6"/>
    <w:lvl w:ilvl="0" w:tplc="04090001">
      <w:start w:val="1"/>
      <w:numFmt w:val="bullet"/>
      <w:lvlText w:val=""/>
      <w:lvlJc w:val="left"/>
      <w:pPr>
        <w:ind w:left="-2160" w:hanging="360"/>
      </w:pPr>
      <w:rPr>
        <w:rFonts w:ascii="Symbol" w:hAnsi="Symbol" w:hint="default"/>
      </w:rPr>
    </w:lvl>
    <w:lvl w:ilvl="1" w:tplc="C4C2C58A">
      <w:start w:val="19"/>
      <w:numFmt w:val="bullet"/>
      <w:lvlText w:val="•"/>
      <w:lvlJc w:val="left"/>
      <w:pPr>
        <w:ind w:left="-1080" w:hanging="720"/>
      </w:pPr>
      <w:rPr>
        <w:rFonts w:ascii="Times New Roman" w:eastAsia="Times New Roman" w:hAnsi="Times New Roman" w:cs="Times New Roman" w:hint="default"/>
      </w:rPr>
    </w:lvl>
    <w:lvl w:ilvl="2" w:tplc="B4A0F188">
      <w:start w:val="12"/>
      <w:numFmt w:val="bullet"/>
      <w:lvlText w:val="–"/>
      <w:lvlJc w:val="left"/>
      <w:pPr>
        <w:ind w:left="-360" w:hanging="720"/>
      </w:pPr>
      <w:rPr>
        <w:rFonts w:ascii="Times New Roman" w:eastAsia="Times New Roman" w:hAnsi="Times New Roman" w:cs="Times New Roman"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5" w15:restartNumberingAfterBreak="0">
    <w:nsid w:val="1378192C"/>
    <w:multiLevelType w:val="multilevel"/>
    <w:tmpl w:val="C6FE8406"/>
    <w:lvl w:ilvl="0">
      <w:start w:val="1"/>
      <w:numFmt w:val="bullet"/>
      <w:lvlText w:val="o"/>
      <w:lvlJc w:val="left"/>
      <w:pPr>
        <w:tabs>
          <w:tab w:val="num" w:pos="540"/>
        </w:tabs>
        <w:ind w:left="540" w:hanging="360"/>
      </w:pPr>
      <w:rPr>
        <w:rFonts w:ascii="Courier New" w:hAnsi="Courier New" w:hint="default"/>
        <w:b w:val="0"/>
        <w:i w:val="0"/>
        <w:color w:val="auto"/>
        <w:sz w:val="24"/>
      </w:rPr>
    </w:lvl>
    <w:lvl w:ilvl="1">
      <w:start w:val="12"/>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40C497C"/>
    <w:multiLevelType w:val="hybridMultilevel"/>
    <w:tmpl w:val="BB0C33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60A31D5"/>
    <w:multiLevelType w:val="multilevel"/>
    <w:tmpl w:val="8BCC9232"/>
    <w:styleLink w:val="StyleBulletseries1OutlinenumberedLeft0"/>
    <w:lvl w:ilvl="0">
      <w:start w:val="1"/>
      <w:numFmt w:val="bullet"/>
      <w:lvlText w:val=""/>
      <w:lvlJc w:val="left"/>
      <w:pPr>
        <w:tabs>
          <w:tab w:val="num" w:pos="720"/>
        </w:tabs>
        <w:ind w:left="720" w:hanging="360"/>
      </w:pPr>
      <w:rPr>
        <w:rFonts w:ascii="Symbol" w:hAnsi="Symbol"/>
        <w:caps w:val="0"/>
        <w:smallCaps w:val="0"/>
        <w:strike w:val="0"/>
        <w:dstrike w:val="0"/>
        <w:vanish w:val="0"/>
        <w:color w:val="000000"/>
        <w:sz w:val="24"/>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271666"/>
    <w:multiLevelType w:val="hybridMultilevel"/>
    <w:tmpl w:val="F73680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80936CD"/>
    <w:multiLevelType w:val="hybridMultilevel"/>
    <w:tmpl w:val="17DCB576"/>
    <w:lvl w:ilvl="0" w:tplc="B4A0F18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2E4D8F"/>
    <w:multiLevelType w:val="hybridMultilevel"/>
    <w:tmpl w:val="79647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AB7C0A"/>
    <w:multiLevelType w:val="hybridMultilevel"/>
    <w:tmpl w:val="C3A8A8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C5A675A"/>
    <w:multiLevelType w:val="multilevel"/>
    <w:tmpl w:val="5486094A"/>
    <w:lvl w:ilvl="0">
      <w:start w:val="1"/>
      <w:numFmt w:val="bullet"/>
      <w:lvlText w:val="o"/>
      <w:lvlJc w:val="left"/>
      <w:pPr>
        <w:tabs>
          <w:tab w:val="num" w:pos="540"/>
        </w:tabs>
        <w:ind w:left="540" w:hanging="360"/>
      </w:pPr>
      <w:rPr>
        <w:rFonts w:ascii="Courier New" w:hAnsi="Courier New" w:hint="default"/>
        <w:b w:val="0"/>
        <w:i w:val="0"/>
        <w:color w:val="auto"/>
        <w:sz w:val="24"/>
      </w:rPr>
    </w:lvl>
    <w:lvl w:ilvl="1">
      <w:start w:val="12"/>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C801D57"/>
    <w:multiLevelType w:val="hybridMultilevel"/>
    <w:tmpl w:val="7FA6A74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4" w15:restartNumberingAfterBreak="0">
    <w:nsid w:val="1CC02624"/>
    <w:multiLevelType w:val="hybridMultilevel"/>
    <w:tmpl w:val="D5CA2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F040A21"/>
    <w:multiLevelType w:val="hybridMultilevel"/>
    <w:tmpl w:val="98044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10D382A"/>
    <w:multiLevelType w:val="hybridMultilevel"/>
    <w:tmpl w:val="D7765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7" w15:restartNumberingAfterBreak="0">
    <w:nsid w:val="215F6F76"/>
    <w:multiLevelType w:val="hybridMultilevel"/>
    <w:tmpl w:val="B3BCE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281A9E"/>
    <w:multiLevelType w:val="multilevel"/>
    <w:tmpl w:val="E9561FAA"/>
    <w:lvl w:ilvl="0">
      <w:start w:val="1"/>
      <w:numFmt w:val="bullet"/>
      <w:lvlText w:val=""/>
      <w:lvlJc w:val="left"/>
      <w:pPr>
        <w:tabs>
          <w:tab w:val="num" w:pos="540"/>
        </w:tabs>
        <w:ind w:left="540" w:hanging="360"/>
      </w:pPr>
      <w:rPr>
        <w:rFonts w:ascii="Symbol" w:hAnsi="Symbol" w:hint="default"/>
        <w:b w:val="0"/>
        <w:i w:val="0"/>
        <w:color w:val="auto"/>
        <w:sz w:val="24"/>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44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239A0D6C"/>
    <w:multiLevelType w:val="multilevel"/>
    <w:tmpl w:val="86BA03F0"/>
    <w:lvl w:ilvl="0">
      <w:start w:val="1"/>
      <w:numFmt w:val="bullet"/>
      <w:pStyle w:val="Checklist1a"/>
      <w:lvlText w:val=""/>
      <w:lvlJc w:val="left"/>
      <w:pPr>
        <w:tabs>
          <w:tab w:val="num" w:pos="540"/>
        </w:tabs>
        <w:ind w:left="540" w:hanging="360"/>
      </w:pPr>
      <w:rPr>
        <w:rFonts w:ascii="Symbol" w:hAnsi="Symbol" w:hint="default"/>
        <w:b w:val="0"/>
        <w:i w:val="0"/>
        <w:color w:val="auto"/>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23A23420"/>
    <w:multiLevelType w:val="hybridMultilevel"/>
    <w:tmpl w:val="D34CA13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1" w15:restartNumberingAfterBreak="0">
    <w:nsid w:val="24A03CEE"/>
    <w:multiLevelType w:val="hybridMultilevel"/>
    <w:tmpl w:val="81984D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77A39A0"/>
    <w:multiLevelType w:val="hybridMultilevel"/>
    <w:tmpl w:val="BBEA7B4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3" w15:restartNumberingAfterBreak="0">
    <w:nsid w:val="28255898"/>
    <w:multiLevelType w:val="hybridMultilevel"/>
    <w:tmpl w:val="B194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977434"/>
    <w:multiLevelType w:val="hybridMultilevel"/>
    <w:tmpl w:val="5C9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0C6D3A"/>
    <w:multiLevelType w:val="multilevel"/>
    <w:tmpl w:val="11820D8A"/>
    <w:lvl w:ilvl="0">
      <w:start w:val="1"/>
      <w:numFmt w:val="decimal"/>
      <w:lvlText w:val="%1."/>
      <w:lvlJc w:val="left"/>
      <w:pPr>
        <w:tabs>
          <w:tab w:val="num" w:pos="432"/>
        </w:tabs>
        <w:ind w:left="432" w:hanging="432"/>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pStyle w:val="Checklist1ai"/>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2A623B47"/>
    <w:multiLevelType w:val="hybridMultilevel"/>
    <w:tmpl w:val="AF3E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093D52"/>
    <w:multiLevelType w:val="hybridMultilevel"/>
    <w:tmpl w:val="4BF8FF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DA54AD5"/>
    <w:multiLevelType w:val="hybridMultilevel"/>
    <w:tmpl w:val="FB860D72"/>
    <w:lvl w:ilvl="0" w:tplc="24F8C8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4813D5"/>
    <w:multiLevelType w:val="hybridMultilevel"/>
    <w:tmpl w:val="EF6C87D6"/>
    <w:lvl w:ilvl="0" w:tplc="558A0A18">
      <w:start w:val="1"/>
      <w:numFmt w:val="decimal"/>
      <w:pStyle w:val="CAHbulletA1"/>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31401FB4"/>
    <w:multiLevelType w:val="hybridMultilevel"/>
    <w:tmpl w:val="D3E0E36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1" w15:restartNumberingAfterBreak="0">
    <w:nsid w:val="326E54ED"/>
    <w:multiLevelType w:val="hybridMultilevel"/>
    <w:tmpl w:val="AA3AE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2972AF"/>
    <w:multiLevelType w:val="hybridMultilevel"/>
    <w:tmpl w:val="C22C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61E533B"/>
    <w:multiLevelType w:val="hybridMultilevel"/>
    <w:tmpl w:val="911EBBA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4" w15:restartNumberingAfterBreak="0">
    <w:nsid w:val="38183B22"/>
    <w:multiLevelType w:val="multilevel"/>
    <w:tmpl w:val="E124A508"/>
    <w:lvl w:ilvl="0">
      <w:start w:val="1"/>
      <w:numFmt w:val="upperRoman"/>
      <w:pStyle w:val="ArticleNumber"/>
      <w:suff w:val="nothing"/>
      <w:lvlText w:val="Article %1"/>
      <w:lvlJc w:val="left"/>
      <w:rPr>
        <w:rFonts w:cs="Times New Roman"/>
        <w:b w:val="0"/>
        <w:i w:val="0"/>
      </w:rPr>
    </w:lvl>
    <w:lvl w:ilvl="1">
      <w:start w:val="1"/>
      <w:numFmt w:val="decimal"/>
      <w:pStyle w:val="ArticleLevel1"/>
      <w:lvlText w:val="(%2)"/>
      <w:lvlJc w:val="left"/>
      <w:pPr>
        <w:tabs>
          <w:tab w:val="num" w:pos="1080"/>
        </w:tabs>
        <w:ind w:firstLine="720"/>
      </w:pPr>
      <w:rPr>
        <w:rFonts w:cs="Times New Roman"/>
      </w:rPr>
    </w:lvl>
    <w:lvl w:ilvl="2">
      <w:start w:val="1"/>
      <w:numFmt w:val="lowerLetter"/>
      <w:pStyle w:val="ArticleLevela"/>
      <w:lvlText w:val="(%3)"/>
      <w:lvlJc w:val="left"/>
      <w:pPr>
        <w:tabs>
          <w:tab w:val="num" w:pos="1440"/>
        </w:tabs>
        <w:ind w:left="1440" w:hanging="720"/>
      </w:pPr>
      <w:rPr>
        <w:rFonts w:cs="Times New Roman"/>
      </w:rPr>
    </w:lvl>
    <w:lvl w:ilvl="3">
      <w:start w:val="1"/>
      <w:numFmt w:val="lowerRoman"/>
      <w:pStyle w:val="ArticleLeveli"/>
      <w:lvlText w:val="(%4)"/>
      <w:lvlJc w:val="left"/>
      <w:pPr>
        <w:tabs>
          <w:tab w:val="num" w:pos="2160"/>
        </w:tabs>
        <w:ind w:left="2160" w:hanging="720"/>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15:restartNumberingAfterBreak="0">
    <w:nsid w:val="386543DA"/>
    <w:multiLevelType w:val="hybridMultilevel"/>
    <w:tmpl w:val="A3545D9C"/>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56" w15:restartNumberingAfterBreak="0">
    <w:nsid w:val="38D807B1"/>
    <w:multiLevelType w:val="hybridMultilevel"/>
    <w:tmpl w:val="AD202EC6"/>
    <w:lvl w:ilvl="0" w:tplc="B4A0F18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ED25F4"/>
    <w:multiLevelType w:val="hybridMultilevel"/>
    <w:tmpl w:val="2BAA950C"/>
    <w:lvl w:ilvl="0" w:tplc="DD34B2E6">
      <w:start w:val="1"/>
      <w:numFmt w:val="bullet"/>
      <w:pStyle w:val="Bulletstyle"/>
      <w:lvlText w:val=""/>
      <w:lvlJc w:val="left"/>
      <w:pPr>
        <w:tabs>
          <w:tab w:val="num" w:pos="1440"/>
        </w:tabs>
        <w:ind w:left="1440" w:hanging="720"/>
      </w:pPr>
      <w:rPr>
        <w:rFonts w:ascii="Symbol" w:hAnsi="Symbol" w:hint="default"/>
      </w:rPr>
    </w:lvl>
    <w:lvl w:ilvl="1" w:tplc="04090003">
      <w:start w:val="1"/>
      <w:numFmt w:val="bullet"/>
      <w:lvlText w:val=""/>
      <w:lvlJc w:val="left"/>
      <w:pPr>
        <w:tabs>
          <w:tab w:val="num" w:pos="0"/>
        </w:tabs>
        <w:ind w:hanging="360"/>
      </w:pPr>
      <w:rPr>
        <w:rFonts w:ascii="Symbol" w:hAnsi="Symbol" w:hint="default"/>
      </w:rPr>
    </w:lvl>
    <w:lvl w:ilvl="2" w:tplc="04090005">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0"/>
        </w:tabs>
        <w:ind w:hanging="360"/>
      </w:pPr>
      <w:rPr>
        <w:rFonts w:ascii="Symbol" w:hAnsi="Symbol" w:hint="default"/>
      </w:rPr>
    </w:lvl>
    <w:lvl w:ilvl="4" w:tplc="04090003">
      <w:start w:val="1"/>
      <w:numFmt w:val="bullet"/>
      <w:lvlText w:val=""/>
      <w:lvlJc w:val="left"/>
      <w:pPr>
        <w:tabs>
          <w:tab w:val="num" w:pos="360"/>
        </w:tabs>
        <w:ind w:left="360" w:hanging="360"/>
      </w:pPr>
      <w:rPr>
        <w:rFonts w:ascii="Symbol" w:hAnsi="Symbo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8" w15:restartNumberingAfterBreak="0">
    <w:nsid w:val="3A1D3A38"/>
    <w:multiLevelType w:val="hybridMultilevel"/>
    <w:tmpl w:val="7872303C"/>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59" w15:restartNumberingAfterBreak="0">
    <w:nsid w:val="3A917DF9"/>
    <w:multiLevelType w:val="hybridMultilevel"/>
    <w:tmpl w:val="3CBA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9532DA"/>
    <w:multiLevelType w:val="hybridMultilevel"/>
    <w:tmpl w:val="3CEA3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E80DA5"/>
    <w:multiLevelType w:val="hybridMultilevel"/>
    <w:tmpl w:val="3D845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B9C0681"/>
    <w:multiLevelType w:val="hybridMultilevel"/>
    <w:tmpl w:val="7B387B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BCB2AA3"/>
    <w:multiLevelType w:val="hybridMultilevel"/>
    <w:tmpl w:val="B194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CD762E"/>
    <w:multiLevelType w:val="hybridMultilevel"/>
    <w:tmpl w:val="CBCA879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5" w15:restartNumberingAfterBreak="0">
    <w:nsid w:val="402223BE"/>
    <w:multiLevelType w:val="hybridMultilevel"/>
    <w:tmpl w:val="D7B2790C"/>
    <w:lvl w:ilvl="0" w:tplc="3800CDC2">
      <w:start w:val="5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5010C3"/>
    <w:multiLevelType w:val="hybridMultilevel"/>
    <w:tmpl w:val="75AA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0506DA8"/>
    <w:multiLevelType w:val="hybridMultilevel"/>
    <w:tmpl w:val="129E98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1411D89"/>
    <w:multiLevelType w:val="hybridMultilevel"/>
    <w:tmpl w:val="90AC9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419F26BD"/>
    <w:multiLevelType w:val="hybridMultilevel"/>
    <w:tmpl w:val="ADFE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C02EBF"/>
    <w:multiLevelType w:val="multilevel"/>
    <w:tmpl w:val="14206B36"/>
    <w:lvl w:ilvl="0">
      <w:start w:val="1"/>
      <w:numFmt w:val="bullet"/>
      <w:lvlText w:val=""/>
      <w:lvlJc w:val="left"/>
      <w:pPr>
        <w:tabs>
          <w:tab w:val="num" w:pos="540"/>
        </w:tabs>
        <w:ind w:left="540" w:hanging="360"/>
      </w:pPr>
      <w:rPr>
        <w:rFonts w:ascii="Symbol" w:hAnsi="Symbol" w:hint="default"/>
        <w:b w:val="0"/>
        <w:i w:val="0"/>
        <w:color w:val="auto"/>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43E97BA4"/>
    <w:multiLevelType w:val="multilevel"/>
    <w:tmpl w:val="1660D86C"/>
    <w:lvl w:ilvl="0">
      <w:start w:val="1"/>
      <w:numFmt w:val="bullet"/>
      <w:lvlText w:val="o"/>
      <w:lvlJc w:val="left"/>
      <w:pPr>
        <w:tabs>
          <w:tab w:val="num" w:pos="540"/>
        </w:tabs>
        <w:ind w:left="540" w:hanging="360"/>
      </w:pPr>
      <w:rPr>
        <w:rFonts w:ascii="Courier New" w:hAnsi="Courier New" w:hint="default"/>
        <w:b w:val="0"/>
        <w:i w:val="0"/>
        <w:color w:val="auto"/>
        <w:sz w:val="24"/>
      </w:rPr>
    </w:lvl>
    <w:lvl w:ilvl="1">
      <w:start w:val="12"/>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bullet"/>
      <w:lvlText w:val=""/>
      <w:lvlJc w:val="left"/>
      <w:pPr>
        <w:tabs>
          <w:tab w:val="num" w:pos="144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44676739"/>
    <w:multiLevelType w:val="hybridMultilevel"/>
    <w:tmpl w:val="8402D3E2"/>
    <w:lvl w:ilvl="0" w:tplc="B4A0F18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393138"/>
    <w:multiLevelType w:val="hybridMultilevel"/>
    <w:tmpl w:val="EC6EBCA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4" w15:restartNumberingAfterBreak="0">
    <w:nsid w:val="47287ED0"/>
    <w:multiLevelType w:val="hybridMultilevel"/>
    <w:tmpl w:val="792AB182"/>
    <w:lvl w:ilvl="0" w:tplc="B4A0F188">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78F7D0E"/>
    <w:multiLevelType w:val="hybridMultilevel"/>
    <w:tmpl w:val="A5D2F282"/>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76" w15:restartNumberingAfterBreak="0">
    <w:nsid w:val="47A55A1B"/>
    <w:multiLevelType w:val="hybridMultilevel"/>
    <w:tmpl w:val="FB14F0C4"/>
    <w:lvl w:ilvl="0" w:tplc="514AFB56">
      <w:start w:val="1"/>
      <w:numFmt w:val="bullet"/>
      <w:lvlText w:val=""/>
      <w:lvlJc w:val="left"/>
      <w:pPr>
        <w:ind w:left="720" w:hanging="360"/>
      </w:pPr>
      <w:rPr>
        <w:rFonts w:ascii="Symbol" w:hAnsi="Symbol" w:hint="default"/>
      </w:rPr>
    </w:lvl>
    <w:lvl w:ilvl="1" w:tplc="59D221F8" w:tentative="1">
      <w:start w:val="1"/>
      <w:numFmt w:val="bullet"/>
      <w:lvlText w:val="o"/>
      <w:lvlJc w:val="left"/>
      <w:pPr>
        <w:ind w:left="1440" w:hanging="360"/>
      </w:pPr>
      <w:rPr>
        <w:rFonts w:ascii="Courier New" w:hAnsi="Courier New" w:cs="Courier New" w:hint="default"/>
      </w:rPr>
    </w:lvl>
    <w:lvl w:ilvl="2" w:tplc="4198B75E" w:tentative="1">
      <w:start w:val="1"/>
      <w:numFmt w:val="bullet"/>
      <w:lvlText w:val=""/>
      <w:lvlJc w:val="left"/>
      <w:pPr>
        <w:ind w:left="2160" w:hanging="360"/>
      </w:pPr>
      <w:rPr>
        <w:rFonts w:ascii="Wingdings" w:hAnsi="Wingdings" w:hint="default"/>
      </w:rPr>
    </w:lvl>
    <w:lvl w:ilvl="3" w:tplc="A9A0DF14" w:tentative="1">
      <w:start w:val="1"/>
      <w:numFmt w:val="bullet"/>
      <w:lvlText w:val=""/>
      <w:lvlJc w:val="left"/>
      <w:pPr>
        <w:ind w:left="2880" w:hanging="360"/>
      </w:pPr>
      <w:rPr>
        <w:rFonts w:ascii="Symbol" w:hAnsi="Symbol" w:hint="default"/>
      </w:rPr>
    </w:lvl>
    <w:lvl w:ilvl="4" w:tplc="6DAA9128"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E8595F"/>
    <w:multiLevelType w:val="hybridMultilevel"/>
    <w:tmpl w:val="1EBA3F9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8" w15:restartNumberingAfterBreak="0">
    <w:nsid w:val="48645D72"/>
    <w:multiLevelType w:val="hybridMultilevel"/>
    <w:tmpl w:val="3570702C"/>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79" w15:restartNumberingAfterBreak="0">
    <w:nsid w:val="48E9669C"/>
    <w:multiLevelType w:val="hybridMultilevel"/>
    <w:tmpl w:val="6A6E664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2A51D6"/>
    <w:multiLevelType w:val="hybridMultilevel"/>
    <w:tmpl w:val="8C563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BDE36CC"/>
    <w:multiLevelType w:val="hybridMultilevel"/>
    <w:tmpl w:val="CF82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546ABB"/>
    <w:multiLevelType w:val="hybridMultilevel"/>
    <w:tmpl w:val="9756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946546"/>
    <w:multiLevelType w:val="hybridMultilevel"/>
    <w:tmpl w:val="E68AF856"/>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4" w15:restartNumberingAfterBreak="0">
    <w:nsid w:val="4E611D23"/>
    <w:multiLevelType w:val="hybridMultilevel"/>
    <w:tmpl w:val="E254755E"/>
    <w:lvl w:ilvl="0" w:tplc="B4A0F188">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F5A7EDC"/>
    <w:multiLevelType w:val="hybridMultilevel"/>
    <w:tmpl w:val="1C320442"/>
    <w:lvl w:ilvl="0" w:tplc="04090001">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6" w15:restartNumberingAfterBreak="0">
    <w:nsid w:val="5066183B"/>
    <w:multiLevelType w:val="hybridMultilevel"/>
    <w:tmpl w:val="696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4E6B88"/>
    <w:multiLevelType w:val="hybridMultilevel"/>
    <w:tmpl w:val="091A745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8" w15:restartNumberingAfterBreak="0">
    <w:nsid w:val="518D622E"/>
    <w:multiLevelType w:val="hybridMultilevel"/>
    <w:tmpl w:val="863E8144"/>
    <w:lvl w:ilvl="0" w:tplc="B4A0F188">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1D22EC1"/>
    <w:multiLevelType w:val="hybridMultilevel"/>
    <w:tmpl w:val="E1A06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52055477"/>
    <w:multiLevelType w:val="multilevel"/>
    <w:tmpl w:val="8862A750"/>
    <w:styleLink w:val="StyleBulletseries1OutlinenumberedLeft01"/>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5FA3264"/>
    <w:multiLevelType w:val="hybridMultilevel"/>
    <w:tmpl w:val="ADF294B8"/>
    <w:lvl w:ilvl="0" w:tplc="4120F34E">
      <w:start w:val="1"/>
      <w:numFmt w:val="bullet"/>
      <w:lvlText w:val=""/>
      <w:lvlJc w:val="left"/>
      <w:pPr>
        <w:ind w:left="720" w:hanging="360"/>
      </w:pPr>
      <w:rPr>
        <w:rFonts w:ascii="Symbol" w:hAnsi="Symbol" w:hint="default"/>
      </w:rPr>
    </w:lvl>
    <w:lvl w:ilvl="1" w:tplc="7D500AB0" w:tentative="1">
      <w:start w:val="1"/>
      <w:numFmt w:val="bullet"/>
      <w:lvlText w:val="o"/>
      <w:lvlJc w:val="left"/>
      <w:pPr>
        <w:ind w:left="1440" w:hanging="360"/>
      </w:pPr>
      <w:rPr>
        <w:rFonts w:ascii="Courier New" w:hAnsi="Courier New" w:cs="Courier New" w:hint="default"/>
      </w:rPr>
    </w:lvl>
    <w:lvl w:ilvl="2" w:tplc="58AC5268" w:tentative="1">
      <w:start w:val="1"/>
      <w:numFmt w:val="bullet"/>
      <w:lvlText w:val=""/>
      <w:lvlJc w:val="left"/>
      <w:pPr>
        <w:ind w:left="2160" w:hanging="360"/>
      </w:pPr>
      <w:rPr>
        <w:rFonts w:ascii="Wingdings" w:hAnsi="Wingdings" w:hint="default"/>
      </w:rPr>
    </w:lvl>
    <w:lvl w:ilvl="3" w:tplc="C758390A" w:tentative="1">
      <w:start w:val="1"/>
      <w:numFmt w:val="bullet"/>
      <w:lvlText w:val=""/>
      <w:lvlJc w:val="left"/>
      <w:pPr>
        <w:ind w:left="2880" w:hanging="360"/>
      </w:pPr>
      <w:rPr>
        <w:rFonts w:ascii="Symbol" w:hAnsi="Symbol" w:hint="default"/>
      </w:rPr>
    </w:lvl>
    <w:lvl w:ilvl="4" w:tplc="9CD04842" w:tentative="1">
      <w:start w:val="1"/>
      <w:numFmt w:val="bullet"/>
      <w:lvlText w:val="o"/>
      <w:lvlJc w:val="left"/>
      <w:pPr>
        <w:ind w:left="3600" w:hanging="360"/>
      </w:pPr>
      <w:rPr>
        <w:rFonts w:ascii="Courier New" w:hAnsi="Courier New" w:cs="Courier New" w:hint="default"/>
      </w:rPr>
    </w:lvl>
    <w:lvl w:ilvl="5" w:tplc="7EAA9EE6" w:tentative="1">
      <w:start w:val="1"/>
      <w:numFmt w:val="bullet"/>
      <w:lvlText w:val=""/>
      <w:lvlJc w:val="left"/>
      <w:pPr>
        <w:ind w:left="4320" w:hanging="360"/>
      </w:pPr>
      <w:rPr>
        <w:rFonts w:ascii="Wingdings" w:hAnsi="Wingdings" w:hint="default"/>
      </w:rPr>
    </w:lvl>
    <w:lvl w:ilvl="6" w:tplc="847E78E4" w:tentative="1">
      <w:start w:val="1"/>
      <w:numFmt w:val="bullet"/>
      <w:lvlText w:val=""/>
      <w:lvlJc w:val="left"/>
      <w:pPr>
        <w:ind w:left="5040" w:hanging="360"/>
      </w:pPr>
      <w:rPr>
        <w:rFonts w:ascii="Symbol" w:hAnsi="Symbol" w:hint="default"/>
      </w:rPr>
    </w:lvl>
    <w:lvl w:ilvl="7" w:tplc="57AE1974" w:tentative="1">
      <w:start w:val="1"/>
      <w:numFmt w:val="bullet"/>
      <w:lvlText w:val="o"/>
      <w:lvlJc w:val="left"/>
      <w:pPr>
        <w:ind w:left="5760" w:hanging="360"/>
      </w:pPr>
      <w:rPr>
        <w:rFonts w:ascii="Courier New" w:hAnsi="Courier New" w:cs="Courier New" w:hint="default"/>
      </w:rPr>
    </w:lvl>
    <w:lvl w:ilvl="8" w:tplc="F3E8A558" w:tentative="1">
      <w:start w:val="1"/>
      <w:numFmt w:val="bullet"/>
      <w:lvlText w:val=""/>
      <w:lvlJc w:val="left"/>
      <w:pPr>
        <w:ind w:left="6480" w:hanging="360"/>
      </w:pPr>
      <w:rPr>
        <w:rFonts w:ascii="Wingdings" w:hAnsi="Wingdings" w:hint="default"/>
      </w:rPr>
    </w:lvl>
  </w:abstractNum>
  <w:abstractNum w:abstractNumId="92" w15:restartNumberingAfterBreak="0">
    <w:nsid w:val="573E30C2"/>
    <w:multiLevelType w:val="hybridMultilevel"/>
    <w:tmpl w:val="7D30418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3" w15:restartNumberingAfterBreak="0">
    <w:nsid w:val="57440E3A"/>
    <w:multiLevelType w:val="hybridMultilevel"/>
    <w:tmpl w:val="15E07942"/>
    <w:lvl w:ilvl="0" w:tplc="04090001">
      <w:start w:val="1"/>
      <w:numFmt w:val="bullet"/>
      <w:lvlText w:val=""/>
      <w:lvlJc w:val="left"/>
      <w:pPr>
        <w:ind w:left="720" w:hanging="72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4" w15:restartNumberingAfterBreak="0">
    <w:nsid w:val="58E17FEE"/>
    <w:multiLevelType w:val="singleLevel"/>
    <w:tmpl w:val="6E68E494"/>
    <w:lvl w:ilvl="0">
      <w:start w:val="1"/>
      <w:numFmt w:val="decimal"/>
      <w:pStyle w:val="NumberStyle"/>
      <w:lvlText w:val="%1."/>
      <w:lvlJc w:val="left"/>
      <w:pPr>
        <w:tabs>
          <w:tab w:val="num" w:pos="360"/>
        </w:tabs>
        <w:ind w:left="360" w:hanging="360"/>
      </w:pPr>
      <w:rPr>
        <w:rFonts w:ascii="CG Omega" w:hAnsi="CG Omega" w:cs="Times New Roman" w:hint="default"/>
        <w:b w:val="0"/>
        <w:i w:val="0"/>
        <w:sz w:val="26"/>
      </w:rPr>
    </w:lvl>
  </w:abstractNum>
  <w:abstractNum w:abstractNumId="95" w15:restartNumberingAfterBreak="0">
    <w:nsid w:val="59A55BD9"/>
    <w:multiLevelType w:val="multilevel"/>
    <w:tmpl w:val="E9561FAA"/>
    <w:lvl w:ilvl="0">
      <w:start w:val="1"/>
      <w:numFmt w:val="bullet"/>
      <w:lvlText w:val=""/>
      <w:lvlJc w:val="left"/>
      <w:pPr>
        <w:tabs>
          <w:tab w:val="num" w:pos="540"/>
        </w:tabs>
        <w:ind w:left="540" w:hanging="360"/>
      </w:pPr>
      <w:rPr>
        <w:rFonts w:ascii="Symbol" w:hAnsi="Symbol" w:hint="default"/>
        <w:b w:val="0"/>
        <w:i w:val="0"/>
        <w:color w:val="auto"/>
        <w:sz w:val="24"/>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44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15:restartNumberingAfterBreak="0">
    <w:nsid w:val="5B5C2310"/>
    <w:multiLevelType w:val="hybridMultilevel"/>
    <w:tmpl w:val="B27A6696"/>
    <w:lvl w:ilvl="0" w:tplc="F632A3E4">
      <w:start w:val="1"/>
      <w:numFmt w:val="bullet"/>
      <w:lvlText w:val=""/>
      <w:lvlJc w:val="left"/>
      <w:pPr>
        <w:ind w:left="1800" w:hanging="360"/>
      </w:pPr>
      <w:rPr>
        <w:rFonts w:ascii="Symbol" w:hAnsi="Symbol" w:hint="default"/>
      </w:rPr>
    </w:lvl>
    <w:lvl w:ilvl="1" w:tplc="F912DA50" w:tentative="1">
      <w:start w:val="1"/>
      <w:numFmt w:val="bullet"/>
      <w:lvlText w:val="o"/>
      <w:lvlJc w:val="left"/>
      <w:pPr>
        <w:ind w:left="2520" w:hanging="360"/>
      </w:pPr>
      <w:rPr>
        <w:rFonts w:ascii="Courier New" w:hAnsi="Courier New" w:cs="Courier New" w:hint="default"/>
      </w:rPr>
    </w:lvl>
    <w:lvl w:ilvl="2" w:tplc="B45E11E6" w:tentative="1">
      <w:start w:val="1"/>
      <w:numFmt w:val="bullet"/>
      <w:lvlText w:val=""/>
      <w:lvlJc w:val="left"/>
      <w:pPr>
        <w:ind w:left="3240" w:hanging="360"/>
      </w:pPr>
      <w:rPr>
        <w:rFonts w:ascii="Wingdings" w:hAnsi="Wingdings" w:hint="default"/>
      </w:rPr>
    </w:lvl>
    <w:lvl w:ilvl="3" w:tplc="EFD2EE6A" w:tentative="1">
      <w:start w:val="1"/>
      <w:numFmt w:val="bullet"/>
      <w:lvlText w:val=""/>
      <w:lvlJc w:val="left"/>
      <w:pPr>
        <w:ind w:left="3960" w:hanging="360"/>
      </w:pPr>
      <w:rPr>
        <w:rFonts w:ascii="Symbol" w:hAnsi="Symbol" w:hint="default"/>
      </w:rPr>
    </w:lvl>
    <w:lvl w:ilvl="4" w:tplc="0696239A" w:tentative="1">
      <w:start w:val="1"/>
      <w:numFmt w:val="bullet"/>
      <w:lvlText w:val="o"/>
      <w:lvlJc w:val="left"/>
      <w:pPr>
        <w:ind w:left="4680" w:hanging="360"/>
      </w:pPr>
      <w:rPr>
        <w:rFonts w:ascii="Courier New" w:hAnsi="Courier New" w:cs="Courier New" w:hint="default"/>
      </w:rPr>
    </w:lvl>
    <w:lvl w:ilvl="5" w:tplc="36CCAE18" w:tentative="1">
      <w:start w:val="1"/>
      <w:numFmt w:val="bullet"/>
      <w:lvlText w:val=""/>
      <w:lvlJc w:val="left"/>
      <w:pPr>
        <w:ind w:left="5400" w:hanging="360"/>
      </w:pPr>
      <w:rPr>
        <w:rFonts w:ascii="Wingdings" w:hAnsi="Wingdings" w:hint="default"/>
      </w:rPr>
    </w:lvl>
    <w:lvl w:ilvl="6" w:tplc="5A328796" w:tentative="1">
      <w:start w:val="1"/>
      <w:numFmt w:val="bullet"/>
      <w:lvlText w:val=""/>
      <w:lvlJc w:val="left"/>
      <w:pPr>
        <w:ind w:left="6120" w:hanging="360"/>
      </w:pPr>
      <w:rPr>
        <w:rFonts w:ascii="Symbol" w:hAnsi="Symbol" w:hint="default"/>
      </w:rPr>
    </w:lvl>
    <w:lvl w:ilvl="7" w:tplc="036E15EA" w:tentative="1">
      <w:start w:val="1"/>
      <w:numFmt w:val="bullet"/>
      <w:lvlText w:val="o"/>
      <w:lvlJc w:val="left"/>
      <w:pPr>
        <w:ind w:left="6840" w:hanging="360"/>
      </w:pPr>
      <w:rPr>
        <w:rFonts w:ascii="Courier New" w:hAnsi="Courier New" w:cs="Courier New" w:hint="default"/>
      </w:rPr>
    </w:lvl>
    <w:lvl w:ilvl="8" w:tplc="29DC4456" w:tentative="1">
      <w:start w:val="1"/>
      <w:numFmt w:val="bullet"/>
      <w:lvlText w:val=""/>
      <w:lvlJc w:val="left"/>
      <w:pPr>
        <w:ind w:left="7560" w:hanging="360"/>
      </w:pPr>
      <w:rPr>
        <w:rFonts w:ascii="Wingdings" w:hAnsi="Wingdings" w:hint="default"/>
      </w:rPr>
    </w:lvl>
  </w:abstractNum>
  <w:abstractNum w:abstractNumId="97" w15:restartNumberingAfterBreak="0">
    <w:nsid w:val="5CF3236B"/>
    <w:multiLevelType w:val="hybridMultilevel"/>
    <w:tmpl w:val="F5B6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752CDD"/>
    <w:multiLevelType w:val="hybridMultilevel"/>
    <w:tmpl w:val="A79213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9" w15:restartNumberingAfterBreak="0">
    <w:nsid w:val="5D833817"/>
    <w:multiLevelType w:val="hybridMultilevel"/>
    <w:tmpl w:val="0264302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E4B1EF8"/>
    <w:multiLevelType w:val="hybridMultilevel"/>
    <w:tmpl w:val="910E7452"/>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01" w15:restartNumberingAfterBreak="0">
    <w:nsid w:val="5ECF069F"/>
    <w:multiLevelType w:val="hybridMultilevel"/>
    <w:tmpl w:val="505EA7F8"/>
    <w:lvl w:ilvl="0" w:tplc="B4F821A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2" w15:restartNumberingAfterBreak="0">
    <w:nsid w:val="5ED25AF8"/>
    <w:multiLevelType w:val="hybridMultilevel"/>
    <w:tmpl w:val="30685180"/>
    <w:lvl w:ilvl="0" w:tplc="04090001">
      <w:start w:val="1"/>
      <w:numFmt w:val="bullet"/>
      <w:lvlText w:val=""/>
      <w:lvlJc w:val="left"/>
      <w:pPr>
        <w:ind w:left="360" w:hanging="360"/>
      </w:pPr>
      <w:rPr>
        <w:rFonts w:ascii="Symbol" w:hAnsi="Symbol" w:hint="default"/>
      </w:rPr>
    </w:lvl>
    <w:lvl w:ilvl="1" w:tplc="B4A0F188">
      <w:start w:val="1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12B78A9"/>
    <w:multiLevelType w:val="hybridMultilevel"/>
    <w:tmpl w:val="73F057CA"/>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4" w15:restartNumberingAfterBreak="0">
    <w:nsid w:val="61F302EA"/>
    <w:multiLevelType w:val="hybridMultilevel"/>
    <w:tmpl w:val="0D10620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5" w15:restartNumberingAfterBreak="0">
    <w:nsid w:val="62966D99"/>
    <w:multiLevelType w:val="hybridMultilevel"/>
    <w:tmpl w:val="3766B1D0"/>
    <w:lvl w:ilvl="0" w:tplc="27B46F82">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EB11C6"/>
    <w:multiLevelType w:val="hybridMultilevel"/>
    <w:tmpl w:val="12EC352C"/>
    <w:lvl w:ilvl="0" w:tplc="FFFFFFF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7" w15:restartNumberingAfterBreak="0">
    <w:nsid w:val="63561924"/>
    <w:multiLevelType w:val="hybridMultilevel"/>
    <w:tmpl w:val="19227B06"/>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8" w15:restartNumberingAfterBreak="0">
    <w:nsid w:val="65511208"/>
    <w:multiLevelType w:val="multilevel"/>
    <w:tmpl w:val="E9561FAA"/>
    <w:lvl w:ilvl="0">
      <w:start w:val="1"/>
      <w:numFmt w:val="bullet"/>
      <w:lvlText w:val=""/>
      <w:lvlJc w:val="left"/>
      <w:pPr>
        <w:tabs>
          <w:tab w:val="num" w:pos="540"/>
        </w:tabs>
        <w:ind w:left="540" w:hanging="360"/>
      </w:pPr>
      <w:rPr>
        <w:rFonts w:ascii="Symbol" w:hAnsi="Symbol" w:hint="default"/>
        <w:b w:val="0"/>
        <w:i w:val="0"/>
        <w:color w:val="auto"/>
        <w:sz w:val="24"/>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44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9" w15:restartNumberingAfterBreak="0">
    <w:nsid w:val="6709156F"/>
    <w:multiLevelType w:val="hybridMultilevel"/>
    <w:tmpl w:val="E23E1204"/>
    <w:lvl w:ilvl="0" w:tplc="B4A0F188">
      <w:start w:val="12"/>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7533267"/>
    <w:multiLevelType w:val="hybridMultilevel"/>
    <w:tmpl w:val="CD2C910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1" w15:restartNumberingAfterBreak="0">
    <w:nsid w:val="675B67F0"/>
    <w:multiLevelType w:val="hybridMultilevel"/>
    <w:tmpl w:val="3B8C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8444FBA"/>
    <w:multiLevelType w:val="hybridMultilevel"/>
    <w:tmpl w:val="736EB3D2"/>
    <w:lvl w:ilvl="0" w:tplc="04090001">
      <w:start w:val="1"/>
      <w:numFmt w:val="bullet"/>
      <w:pStyle w:val="ChecklistBullet1"/>
      <w:lvlText w:val=""/>
      <w:legacy w:legacy="1" w:legacySpace="0" w:legacyIndent="360"/>
      <w:lvlJc w:val="left"/>
      <w:pPr>
        <w:ind w:left="464"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68956C15"/>
    <w:multiLevelType w:val="hybridMultilevel"/>
    <w:tmpl w:val="71183CD8"/>
    <w:lvl w:ilvl="0" w:tplc="2BC478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9AD66B9"/>
    <w:multiLevelType w:val="hybridMultilevel"/>
    <w:tmpl w:val="460A3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9ED0060"/>
    <w:multiLevelType w:val="hybridMultilevel"/>
    <w:tmpl w:val="05CE2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6B5869B5"/>
    <w:multiLevelType w:val="hybridMultilevel"/>
    <w:tmpl w:val="025CF1D2"/>
    <w:lvl w:ilvl="0" w:tplc="DD34B2E6">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7" w15:restartNumberingAfterBreak="0">
    <w:nsid w:val="6E29727F"/>
    <w:multiLevelType w:val="hybridMultilevel"/>
    <w:tmpl w:val="32EC09D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8" w15:restartNumberingAfterBreak="0">
    <w:nsid w:val="71175F14"/>
    <w:multiLevelType w:val="hybridMultilevel"/>
    <w:tmpl w:val="DBF01762"/>
    <w:lvl w:ilvl="0" w:tplc="D340E6FC">
      <w:start w:val="7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14D5F71"/>
    <w:multiLevelType w:val="hybridMultilevel"/>
    <w:tmpl w:val="9F389E80"/>
    <w:lvl w:ilvl="0" w:tplc="ED22D38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3EC020D"/>
    <w:multiLevelType w:val="hybridMultilevel"/>
    <w:tmpl w:val="C92645B4"/>
    <w:lvl w:ilvl="0" w:tplc="04090001">
      <w:start w:val="1"/>
      <w:numFmt w:val="bullet"/>
      <w:lvlText w:val=""/>
      <w:lvlJc w:val="left"/>
      <w:pPr>
        <w:ind w:left="720" w:hanging="360"/>
      </w:pPr>
      <w:rPr>
        <w:rFonts w:ascii="Symbol" w:hAnsi="Symbol" w:hint="default"/>
      </w:rPr>
    </w:lvl>
    <w:lvl w:ilvl="1" w:tplc="B4A0F188">
      <w:start w:val="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5204DE"/>
    <w:multiLevelType w:val="hybridMultilevel"/>
    <w:tmpl w:val="C400BE30"/>
    <w:lvl w:ilvl="0" w:tplc="7DC2E202">
      <w:start w:val="1"/>
      <w:numFmt w:val="bullet"/>
      <w:lvlText w:val=""/>
      <w:lvlJc w:val="left"/>
      <w:pPr>
        <w:ind w:left="720" w:hanging="360"/>
      </w:pPr>
      <w:rPr>
        <w:rFonts w:ascii="Symbol" w:hAnsi="Symbol" w:hint="default"/>
      </w:rPr>
    </w:lvl>
    <w:lvl w:ilvl="1" w:tplc="F2DA3D0A" w:tentative="1">
      <w:start w:val="1"/>
      <w:numFmt w:val="bullet"/>
      <w:lvlText w:val="o"/>
      <w:lvlJc w:val="left"/>
      <w:pPr>
        <w:ind w:left="1440" w:hanging="360"/>
      </w:pPr>
      <w:rPr>
        <w:rFonts w:ascii="Courier New" w:hAnsi="Courier New" w:cs="Courier New" w:hint="default"/>
      </w:rPr>
    </w:lvl>
    <w:lvl w:ilvl="2" w:tplc="2B0AAB7A" w:tentative="1">
      <w:start w:val="1"/>
      <w:numFmt w:val="bullet"/>
      <w:lvlText w:val=""/>
      <w:lvlJc w:val="left"/>
      <w:pPr>
        <w:ind w:left="2160" w:hanging="360"/>
      </w:pPr>
      <w:rPr>
        <w:rFonts w:ascii="Wingdings" w:hAnsi="Wingdings" w:hint="default"/>
      </w:rPr>
    </w:lvl>
    <w:lvl w:ilvl="3" w:tplc="062894F0" w:tentative="1">
      <w:start w:val="1"/>
      <w:numFmt w:val="bullet"/>
      <w:lvlText w:val=""/>
      <w:lvlJc w:val="left"/>
      <w:pPr>
        <w:ind w:left="2880" w:hanging="360"/>
      </w:pPr>
      <w:rPr>
        <w:rFonts w:ascii="Symbol" w:hAnsi="Symbol" w:hint="default"/>
      </w:rPr>
    </w:lvl>
    <w:lvl w:ilvl="4" w:tplc="40EAD4CC" w:tentative="1">
      <w:start w:val="1"/>
      <w:numFmt w:val="bullet"/>
      <w:lvlText w:val="o"/>
      <w:lvlJc w:val="left"/>
      <w:pPr>
        <w:ind w:left="3600" w:hanging="360"/>
      </w:pPr>
      <w:rPr>
        <w:rFonts w:ascii="Courier New" w:hAnsi="Courier New" w:cs="Courier New" w:hint="default"/>
      </w:rPr>
    </w:lvl>
    <w:lvl w:ilvl="5" w:tplc="47C83606" w:tentative="1">
      <w:start w:val="1"/>
      <w:numFmt w:val="bullet"/>
      <w:lvlText w:val=""/>
      <w:lvlJc w:val="left"/>
      <w:pPr>
        <w:ind w:left="4320" w:hanging="360"/>
      </w:pPr>
      <w:rPr>
        <w:rFonts w:ascii="Wingdings" w:hAnsi="Wingdings" w:hint="default"/>
      </w:rPr>
    </w:lvl>
    <w:lvl w:ilvl="6" w:tplc="0BECB53C" w:tentative="1">
      <w:start w:val="1"/>
      <w:numFmt w:val="bullet"/>
      <w:lvlText w:val=""/>
      <w:lvlJc w:val="left"/>
      <w:pPr>
        <w:ind w:left="5040" w:hanging="360"/>
      </w:pPr>
      <w:rPr>
        <w:rFonts w:ascii="Symbol" w:hAnsi="Symbol" w:hint="default"/>
      </w:rPr>
    </w:lvl>
    <w:lvl w:ilvl="7" w:tplc="33440CAE" w:tentative="1">
      <w:start w:val="1"/>
      <w:numFmt w:val="bullet"/>
      <w:lvlText w:val="o"/>
      <w:lvlJc w:val="left"/>
      <w:pPr>
        <w:ind w:left="5760" w:hanging="360"/>
      </w:pPr>
      <w:rPr>
        <w:rFonts w:ascii="Courier New" w:hAnsi="Courier New" w:cs="Courier New" w:hint="default"/>
      </w:rPr>
    </w:lvl>
    <w:lvl w:ilvl="8" w:tplc="D8E8FDE6" w:tentative="1">
      <w:start w:val="1"/>
      <w:numFmt w:val="bullet"/>
      <w:lvlText w:val=""/>
      <w:lvlJc w:val="left"/>
      <w:pPr>
        <w:ind w:left="6480" w:hanging="360"/>
      </w:pPr>
      <w:rPr>
        <w:rFonts w:ascii="Wingdings" w:hAnsi="Wingdings" w:hint="default"/>
      </w:rPr>
    </w:lvl>
  </w:abstractNum>
  <w:abstractNum w:abstractNumId="122" w15:restartNumberingAfterBreak="0">
    <w:nsid w:val="76637CD0"/>
    <w:multiLevelType w:val="hybridMultilevel"/>
    <w:tmpl w:val="1E96AEAE"/>
    <w:lvl w:ilvl="0" w:tplc="B4A0F188">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7BE0932"/>
    <w:multiLevelType w:val="multilevel"/>
    <w:tmpl w:val="E9561FAA"/>
    <w:lvl w:ilvl="0">
      <w:start w:val="1"/>
      <w:numFmt w:val="bullet"/>
      <w:lvlText w:val=""/>
      <w:lvlJc w:val="left"/>
      <w:pPr>
        <w:tabs>
          <w:tab w:val="num" w:pos="540"/>
        </w:tabs>
        <w:ind w:left="540" w:hanging="360"/>
      </w:pPr>
      <w:rPr>
        <w:rFonts w:ascii="Symbol" w:hAnsi="Symbol" w:hint="default"/>
        <w:b w:val="0"/>
        <w:i w:val="0"/>
        <w:color w:val="auto"/>
        <w:sz w:val="24"/>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44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4" w15:restartNumberingAfterBreak="0">
    <w:nsid w:val="77E846DD"/>
    <w:multiLevelType w:val="hybridMultilevel"/>
    <w:tmpl w:val="991A0456"/>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5" w15:restartNumberingAfterBreak="0">
    <w:nsid w:val="78220703"/>
    <w:multiLevelType w:val="hybridMultilevel"/>
    <w:tmpl w:val="780CCDA4"/>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6" w15:restartNumberingAfterBreak="0">
    <w:nsid w:val="79046940"/>
    <w:multiLevelType w:val="hybridMultilevel"/>
    <w:tmpl w:val="CA1AE92E"/>
    <w:lvl w:ilvl="0" w:tplc="2012D808">
      <w:start w:val="5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A235C9D"/>
    <w:multiLevelType w:val="hybridMultilevel"/>
    <w:tmpl w:val="75B6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B750036"/>
    <w:multiLevelType w:val="hybridMultilevel"/>
    <w:tmpl w:val="A126B816"/>
    <w:lvl w:ilvl="0" w:tplc="B4A0F18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BA06E1D"/>
    <w:multiLevelType w:val="hybridMultilevel"/>
    <w:tmpl w:val="3BF0C064"/>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30" w15:restartNumberingAfterBreak="0">
    <w:nsid w:val="7C03406B"/>
    <w:multiLevelType w:val="multilevel"/>
    <w:tmpl w:val="F894F250"/>
    <w:lvl w:ilvl="0">
      <w:start w:val="1"/>
      <w:numFmt w:val="upperLetter"/>
      <w:pStyle w:val="CAHBulletA"/>
      <w:lvlText w:val="%1."/>
      <w:lvlJc w:val="left"/>
      <w:pPr>
        <w:tabs>
          <w:tab w:val="num" w:pos="360"/>
        </w:tabs>
        <w:ind w:left="360" w:hanging="360"/>
      </w:pPr>
      <w:rPr>
        <w:rFonts w:cs="Times New Roman"/>
      </w:rPr>
    </w:lvl>
    <w:lvl w:ilvl="1">
      <w:start w:val="1"/>
      <w:numFmt w:val="bullet"/>
      <w:lvlText w:val=""/>
      <w:legacy w:legacy="1" w:legacySpace="360" w:legacyIndent="360"/>
      <w:lvlJc w:val="left"/>
      <w:pPr>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6"/>
      <w:numFmt w:val="decimal"/>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31" w15:restartNumberingAfterBreak="0">
    <w:nsid w:val="7CB57DFD"/>
    <w:multiLevelType w:val="hybridMultilevel"/>
    <w:tmpl w:val="2E363D5E"/>
    <w:lvl w:ilvl="0" w:tplc="0142B84E">
      <w:start w:val="1"/>
      <w:numFmt w:val="bullet"/>
      <w:lvlText w:val=""/>
      <w:lvlJc w:val="left"/>
      <w:pPr>
        <w:ind w:left="720" w:hanging="360"/>
      </w:pPr>
      <w:rPr>
        <w:rFonts w:ascii="Symbol" w:hAnsi="Symbol" w:hint="default"/>
      </w:rPr>
    </w:lvl>
    <w:lvl w:ilvl="1" w:tplc="42204D78" w:tentative="1">
      <w:start w:val="1"/>
      <w:numFmt w:val="bullet"/>
      <w:lvlText w:val="o"/>
      <w:lvlJc w:val="left"/>
      <w:pPr>
        <w:ind w:left="1440" w:hanging="360"/>
      </w:pPr>
      <w:rPr>
        <w:rFonts w:ascii="Courier New" w:hAnsi="Courier New" w:cs="Courier New" w:hint="default"/>
      </w:rPr>
    </w:lvl>
    <w:lvl w:ilvl="2" w:tplc="695AFD54" w:tentative="1">
      <w:start w:val="1"/>
      <w:numFmt w:val="bullet"/>
      <w:lvlText w:val=""/>
      <w:lvlJc w:val="left"/>
      <w:pPr>
        <w:ind w:left="2160" w:hanging="360"/>
      </w:pPr>
      <w:rPr>
        <w:rFonts w:ascii="Wingdings" w:hAnsi="Wingdings" w:hint="default"/>
      </w:rPr>
    </w:lvl>
    <w:lvl w:ilvl="3" w:tplc="3EA24DAE" w:tentative="1">
      <w:start w:val="1"/>
      <w:numFmt w:val="bullet"/>
      <w:lvlText w:val=""/>
      <w:lvlJc w:val="left"/>
      <w:pPr>
        <w:ind w:left="2880" w:hanging="360"/>
      </w:pPr>
      <w:rPr>
        <w:rFonts w:ascii="Symbol" w:hAnsi="Symbol" w:hint="default"/>
      </w:rPr>
    </w:lvl>
    <w:lvl w:ilvl="4" w:tplc="76309622" w:tentative="1">
      <w:start w:val="1"/>
      <w:numFmt w:val="bullet"/>
      <w:lvlText w:val="o"/>
      <w:lvlJc w:val="left"/>
      <w:pPr>
        <w:ind w:left="3600" w:hanging="360"/>
      </w:pPr>
      <w:rPr>
        <w:rFonts w:ascii="Courier New" w:hAnsi="Courier New" w:cs="Courier New" w:hint="default"/>
      </w:rPr>
    </w:lvl>
    <w:lvl w:ilvl="5" w:tplc="449467DE" w:tentative="1">
      <w:start w:val="1"/>
      <w:numFmt w:val="bullet"/>
      <w:lvlText w:val=""/>
      <w:lvlJc w:val="left"/>
      <w:pPr>
        <w:ind w:left="4320" w:hanging="360"/>
      </w:pPr>
      <w:rPr>
        <w:rFonts w:ascii="Wingdings" w:hAnsi="Wingdings" w:hint="default"/>
      </w:rPr>
    </w:lvl>
    <w:lvl w:ilvl="6" w:tplc="35160712" w:tentative="1">
      <w:start w:val="1"/>
      <w:numFmt w:val="bullet"/>
      <w:lvlText w:val=""/>
      <w:lvlJc w:val="left"/>
      <w:pPr>
        <w:ind w:left="5040" w:hanging="360"/>
      </w:pPr>
      <w:rPr>
        <w:rFonts w:ascii="Symbol" w:hAnsi="Symbol" w:hint="default"/>
      </w:rPr>
    </w:lvl>
    <w:lvl w:ilvl="7" w:tplc="982C4B92" w:tentative="1">
      <w:start w:val="1"/>
      <w:numFmt w:val="bullet"/>
      <w:lvlText w:val="o"/>
      <w:lvlJc w:val="left"/>
      <w:pPr>
        <w:ind w:left="5760" w:hanging="360"/>
      </w:pPr>
      <w:rPr>
        <w:rFonts w:ascii="Courier New" w:hAnsi="Courier New" w:cs="Courier New" w:hint="default"/>
      </w:rPr>
    </w:lvl>
    <w:lvl w:ilvl="8" w:tplc="9CC47C82" w:tentative="1">
      <w:start w:val="1"/>
      <w:numFmt w:val="bullet"/>
      <w:lvlText w:val=""/>
      <w:lvlJc w:val="left"/>
      <w:pPr>
        <w:ind w:left="6480" w:hanging="360"/>
      </w:pPr>
      <w:rPr>
        <w:rFonts w:ascii="Wingdings" w:hAnsi="Wingdings" w:hint="default"/>
      </w:rPr>
    </w:lvl>
  </w:abstractNum>
  <w:abstractNum w:abstractNumId="132" w15:restartNumberingAfterBreak="0">
    <w:nsid w:val="7E9D2ED6"/>
    <w:multiLevelType w:val="multilevel"/>
    <w:tmpl w:val="0A826D10"/>
    <w:lvl w:ilvl="0">
      <w:start w:val="1"/>
      <w:numFmt w:val="bullet"/>
      <w:lvlText w:val="o"/>
      <w:lvlJc w:val="left"/>
      <w:pPr>
        <w:tabs>
          <w:tab w:val="num" w:pos="540"/>
        </w:tabs>
        <w:ind w:left="540" w:hanging="360"/>
      </w:pPr>
      <w:rPr>
        <w:rFonts w:ascii="Courier New" w:hAnsi="Courier New" w:hint="default"/>
        <w:b w:val="0"/>
        <w:i w:val="0"/>
        <w:color w:val="auto"/>
        <w:sz w:val="24"/>
      </w:rPr>
    </w:lvl>
    <w:lvl w:ilvl="1">
      <w:start w:val="12"/>
      <w:numFmt w:val="bullet"/>
      <w:lvlText w:val="–"/>
      <w:lvlJc w:val="left"/>
      <w:pPr>
        <w:tabs>
          <w:tab w:val="num" w:pos="720"/>
        </w:tabs>
        <w:ind w:left="720" w:hanging="360"/>
      </w:pPr>
      <w:rPr>
        <w:rFonts w:ascii="Times New Roman" w:eastAsia="Times New Roman" w:hAnsi="Times New Roman" w:cs="Times New Roman" w:hint="default"/>
      </w:rPr>
    </w:lvl>
    <w:lvl w:ilvl="2">
      <w:start w:val="12"/>
      <w:numFmt w:val="bullet"/>
      <w:lvlText w:val="–"/>
      <w:lvlJc w:val="left"/>
      <w:pPr>
        <w:tabs>
          <w:tab w:val="num" w:pos="144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3"/>
  </w:num>
  <w:num w:numId="2">
    <w:abstractNumId w:val="27"/>
  </w:num>
  <w:num w:numId="3">
    <w:abstractNumId w:val="14"/>
  </w:num>
  <w:num w:numId="4">
    <w:abstractNumId w:val="90"/>
  </w:num>
  <w:num w:numId="5">
    <w:abstractNumId w:val="100"/>
  </w:num>
  <w:num w:numId="6">
    <w:abstractNumId w:val="79"/>
  </w:num>
  <w:num w:numId="7">
    <w:abstractNumId w:val="2"/>
  </w:num>
  <w:num w:numId="8">
    <w:abstractNumId w:val="36"/>
  </w:num>
  <w:num w:numId="9">
    <w:abstractNumId w:val="34"/>
  </w:num>
  <w:num w:numId="10">
    <w:abstractNumId w:val="114"/>
  </w:num>
  <w:num w:numId="11">
    <w:abstractNumId w:val="24"/>
  </w:num>
  <w:num w:numId="12">
    <w:abstractNumId w:val="110"/>
  </w:num>
  <w:num w:numId="13">
    <w:abstractNumId w:val="116"/>
  </w:num>
  <w:num w:numId="14">
    <w:abstractNumId w:val="113"/>
  </w:num>
  <w:num w:numId="15">
    <w:abstractNumId w:val="59"/>
  </w:num>
  <w:num w:numId="16">
    <w:abstractNumId w:val="46"/>
  </w:num>
  <w:num w:numId="17">
    <w:abstractNumId w:val="19"/>
  </w:num>
  <w:num w:numId="18">
    <w:abstractNumId w:val="131"/>
  </w:num>
  <w:num w:numId="19">
    <w:abstractNumId w:val="15"/>
  </w:num>
  <w:num w:numId="20">
    <w:abstractNumId w:val="127"/>
  </w:num>
  <w:num w:numId="21">
    <w:abstractNumId w:val="121"/>
  </w:num>
  <w:num w:numId="22">
    <w:abstractNumId w:val="91"/>
  </w:num>
  <w:num w:numId="23">
    <w:abstractNumId w:val="13"/>
  </w:num>
  <w:num w:numId="24">
    <w:abstractNumId w:val="89"/>
  </w:num>
  <w:num w:numId="25">
    <w:abstractNumId w:val="68"/>
  </w:num>
  <w:num w:numId="26">
    <w:abstractNumId w:val="63"/>
  </w:num>
  <w:num w:numId="27">
    <w:abstractNumId w:val="7"/>
  </w:num>
  <w:num w:numId="28">
    <w:abstractNumId w:val="52"/>
  </w:num>
  <w:num w:numId="29">
    <w:abstractNumId w:val="82"/>
  </w:num>
  <w:num w:numId="30">
    <w:abstractNumId w:val="97"/>
  </w:num>
  <w:num w:numId="31">
    <w:abstractNumId w:val="81"/>
  </w:num>
  <w:num w:numId="32">
    <w:abstractNumId w:val="101"/>
  </w:num>
  <w:num w:numId="33">
    <w:abstractNumId w:val="96"/>
  </w:num>
  <w:num w:numId="34">
    <w:abstractNumId w:val="104"/>
  </w:num>
  <w:num w:numId="35">
    <w:abstractNumId w:val="43"/>
  </w:num>
  <w:num w:numId="36">
    <w:abstractNumId w:val="10"/>
  </w:num>
  <w:num w:numId="37">
    <w:abstractNumId w:val="76"/>
  </w:num>
  <w:num w:numId="38">
    <w:abstractNumId w:val="56"/>
  </w:num>
  <w:num w:numId="39">
    <w:abstractNumId w:val="86"/>
  </w:num>
  <w:num w:numId="40">
    <w:abstractNumId w:val="44"/>
  </w:num>
  <w:num w:numId="41">
    <w:abstractNumId w:val="69"/>
  </w:num>
  <w:num w:numId="42">
    <w:abstractNumId w:val="111"/>
  </w:num>
  <w:num w:numId="43">
    <w:abstractNumId w:val="112"/>
  </w:num>
  <w:num w:numId="44">
    <w:abstractNumId w:val="106"/>
  </w:num>
  <w:num w:numId="45">
    <w:abstractNumId w:val="61"/>
  </w:num>
  <w:num w:numId="46">
    <w:abstractNumId w:val="22"/>
  </w:num>
  <w:num w:numId="47">
    <w:abstractNumId w:val="12"/>
  </w:num>
  <w:num w:numId="48">
    <w:abstractNumId w:val="62"/>
  </w:num>
  <w:num w:numId="49">
    <w:abstractNumId w:val="47"/>
  </w:num>
  <w:num w:numId="50">
    <w:abstractNumId w:val="67"/>
  </w:num>
  <w:num w:numId="51">
    <w:abstractNumId w:val="37"/>
  </w:num>
  <w:num w:numId="52">
    <w:abstractNumId w:val="35"/>
  </w:num>
  <w:num w:numId="53">
    <w:abstractNumId w:val="16"/>
  </w:num>
  <w:num w:numId="54">
    <w:abstractNumId w:val="85"/>
  </w:num>
  <w:num w:numId="55">
    <w:abstractNumId w:val="83"/>
  </w:num>
  <w:num w:numId="56">
    <w:abstractNumId w:val="93"/>
  </w:num>
  <w:num w:numId="57">
    <w:abstractNumId w:val="1"/>
  </w:num>
  <w:num w:numId="58">
    <w:abstractNumId w:val="30"/>
  </w:num>
  <w:num w:numId="59">
    <w:abstractNumId w:val="41"/>
  </w:num>
  <w:num w:numId="60">
    <w:abstractNumId w:val="28"/>
  </w:num>
  <w:num w:numId="61">
    <w:abstractNumId w:val="3"/>
  </w:num>
  <w:num w:numId="62">
    <w:abstractNumId w:val="103"/>
  </w:num>
  <w:num w:numId="63">
    <w:abstractNumId w:val="20"/>
  </w:num>
  <w:num w:numId="64">
    <w:abstractNumId w:val="124"/>
  </w:num>
  <w:num w:numId="65">
    <w:abstractNumId w:val="18"/>
  </w:num>
  <w:num w:numId="66">
    <w:abstractNumId w:val="11"/>
  </w:num>
  <w:num w:numId="67">
    <w:abstractNumId w:val="26"/>
  </w:num>
  <w:num w:numId="68">
    <w:abstractNumId w:val="119"/>
  </w:num>
  <w:num w:numId="69">
    <w:abstractNumId w:val="80"/>
  </w:num>
  <w:num w:numId="70">
    <w:abstractNumId w:val="125"/>
  </w:num>
  <w:num w:numId="71">
    <w:abstractNumId w:val="66"/>
  </w:num>
  <w:num w:numId="72">
    <w:abstractNumId w:val="54"/>
  </w:num>
  <w:num w:numId="73">
    <w:abstractNumId w:val="94"/>
  </w:num>
  <w:num w:numId="74">
    <w:abstractNumId w:val="57"/>
  </w:num>
  <w:num w:numId="75">
    <w:abstractNumId w:val="130"/>
  </w:num>
  <w:num w:numId="76">
    <w:abstractNumId w:val="45"/>
  </w:num>
  <w:num w:numId="77">
    <w:abstractNumId w:val="49"/>
  </w:num>
  <w:num w:numId="78">
    <w:abstractNumId w:val="39"/>
  </w:num>
  <w:num w:numId="79">
    <w:abstractNumId w:val="120"/>
  </w:num>
  <w:num w:numId="80">
    <w:abstractNumId w:val="128"/>
  </w:num>
  <w:num w:numId="81">
    <w:abstractNumId w:val="29"/>
  </w:num>
  <w:num w:numId="82">
    <w:abstractNumId w:val="6"/>
  </w:num>
  <w:num w:numId="83">
    <w:abstractNumId w:val="51"/>
  </w:num>
  <w:num w:numId="84">
    <w:abstractNumId w:val="60"/>
  </w:num>
  <w:num w:numId="85">
    <w:abstractNumId w:val="72"/>
  </w:num>
  <w:num w:numId="86">
    <w:abstractNumId w:val="102"/>
  </w:num>
  <w:num w:numId="87">
    <w:abstractNumId w:val="109"/>
  </w:num>
  <w:num w:numId="88">
    <w:abstractNumId w:val="74"/>
  </w:num>
  <w:num w:numId="89">
    <w:abstractNumId w:val="115"/>
  </w:num>
  <w:num w:numId="90">
    <w:abstractNumId w:val="48"/>
  </w:num>
  <w:num w:numId="91">
    <w:abstractNumId w:val="32"/>
  </w:num>
  <w:num w:numId="92">
    <w:abstractNumId w:val="105"/>
  </w:num>
  <w:num w:numId="93">
    <w:abstractNumId w:val="25"/>
  </w:num>
  <w:num w:numId="94">
    <w:abstractNumId w:val="126"/>
  </w:num>
  <w:num w:numId="95">
    <w:abstractNumId w:val="88"/>
  </w:num>
  <w:num w:numId="96">
    <w:abstractNumId w:val="84"/>
  </w:num>
  <w:num w:numId="97">
    <w:abstractNumId w:val="122"/>
  </w:num>
  <w:num w:numId="98">
    <w:abstractNumId w:val="70"/>
  </w:num>
  <w:num w:numId="99">
    <w:abstractNumId w:val="21"/>
  </w:num>
  <w:num w:numId="100">
    <w:abstractNumId w:val="65"/>
  </w:num>
  <w:num w:numId="101">
    <w:abstractNumId w:val="118"/>
  </w:num>
  <w:num w:numId="102">
    <w:abstractNumId w:val="71"/>
  </w:num>
  <w:num w:numId="103">
    <w:abstractNumId w:val="123"/>
  </w:num>
  <w:num w:numId="104">
    <w:abstractNumId w:val="95"/>
  </w:num>
  <w:num w:numId="105">
    <w:abstractNumId w:val="38"/>
  </w:num>
  <w:num w:numId="106">
    <w:abstractNumId w:val="108"/>
  </w:num>
  <w:num w:numId="107">
    <w:abstractNumId w:val="0"/>
  </w:num>
  <w:num w:numId="108">
    <w:abstractNumId w:val="64"/>
  </w:num>
  <w:num w:numId="109">
    <w:abstractNumId w:val="9"/>
  </w:num>
  <w:num w:numId="110">
    <w:abstractNumId w:val="53"/>
  </w:num>
  <w:num w:numId="111">
    <w:abstractNumId w:val="107"/>
  </w:num>
  <w:num w:numId="112">
    <w:abstractNumId w:val="42"/>
  </w:num>
  <w:num w:numId="113">
    <w:abstractNumId w:val="75"/>
  </w:num>
  <w:num w:numId="114">
    <w:abstractNumId w:val="50"/>
  </w:num>
  <w:num w:numId="115">
    <w:abstractNumId w:val="117"/>
  </w:num>
  <w:num w:numId="116">
    <w:abstractNumId w:val="87"/>
  </w:num>
  <w:num w:numId="117">
    <w:abstractNumId w:val="40"/>
  </w:num>
  <w:num w:numId="118">
    <w:abstractNumId w:val="73"/>
  </w:num>
  <w:num w:numId="119">
    <w:abstractNumId w:val="4"/>
  </w:num>
  <w:num w:numId="120">
    <w:abstractNumId w:val="92"/>
  </w:num>
  <w:num w:numId="121">
    <w:abstractNumId w:val="33"/>
  </w:num>
  <w:num w:numId="122">
    <w:abstractNumId w:val="98"/>
  </w:num>
  <w:num w:numId="123">
    <w:abstractNumId w:val="77"/>
  </w:num>
  <w:num w:numId="124">
    <w:abstractNumId w:val="78"/>
  </w:num>
  <w:num w:numId="125">
    <w:abstractNumId w:val="17"/>
  </w:num>
  <w:num w:numId="126">
    <w:abstractNumId w:val="5"/>
  </w:num>
  <w:num w:numId="127">
    <w:abstractNumId w:val="129"/>
  </w:num>
  <w:num w:numId="128">
    <w:abstractNumId w:val="58"/>
  </w:num>
  <w:num w:numId="129">
    <w:abstractNumId w:val="55"/>
  </w:num>
  <w:num w:numId="130">
    <w:abstractNumId w:val="132"/>
  </w:num>
  <w:num w:numId="131">
    <w:abstractNumId w:val="99"/>
  </w:num>
  <w:num w:numId="132">
    <w:abstractNumId w:val="31"/>
  </w:num>
  <w:num w:numId="133">
    <w:abstractNumId w:val="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GrammaticalErrors/>
  <w:proofState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884F539-0769-4433-8141-7697C6254AD7}"/>
    <w:docVar w:name="dgnword-eventsink" w:val="275376712"/>
  </w:docVars>
  <w:rsids>
    <w:rsidRoot w:val="00A76BDF"/>
    <w:rsid w:val="0000035C"/>
    <w:rsid w:val="00001AC0"/>
    <w:rsid w:val="00004516"/>
    <w:rsid w:val="00006849"/>
    <w:rsid w:val="00007C0A"/>
    <w:rsid w:val="0001029B"/>
    <w:rsid w:val="000108F2"/>
    <w:rsid w:val="00010AD8"/>
    <w:rsid w:val="00011FA7"/>
    <w:rsid w:val="0001226E"/>
    <w:rsid w:val="00012319"/>
    <w:rsid w:val="00013294"/>
    <w:rsid w:val="00013A04"/>
    <w:rsid w:val="000145A1"/>
    <w:rsid w:val="0001469E"/>
    <w:rsid w:val="00014AB0"/>
    <w:rsid w:val="00015CD3"/>
    <w:rsid w:val="00015DFD"/>
    <w:rsid w:val="00016075"/>
    <w:rsid w:val="00016DCB"/>
    <w:rsid w:val="000172FC"/>
    <w:rsid w:val="000176D2"/>
    <w:rsid w:val="0001789C"/>
    <w:rsid w:val="0001799E"/>
    <w:rsid w:val="000203F8"/>
    <w:rsid w:val="00020E8A"/>
    <w:rsid w:val="000210C4"/>
    <w:rsid w:val="00022237"/>
    <w:rsid w:val="00022946"/>
    <w:rsid w:val="00023B3C"/>
    <w:rsid w:val="00024F70"/>
    <w:rsid w:val="00024F74"/>
    <w:rsid w:val="00025C7B"/>
    <w:rsid w:val="00026983"/>
    <w:rsid w:val="000310BB"/>
    <w:rsid w:val="00031B87"/>
    <w:rsid w:val="000334DD"/>
    <w:rsid w:val="0003405C"/>
    <w:rsid w:val="00034DAE"/>
    <w:rsid w:val="000356DC"/>
    <w:rsid w:val="00037F5A"/>
    <w:rsid w:val="0004081E"/>
    <w:rsid w:val="00043DDD"/>
    <w:rsid w:val="00050846"/>
    <w:rsid w:val="00053E03"/>
    <w:rsid w:val="00056274"/>
    <w:rsid w:val="0005666A"/>
    <w:rsid w:val="000568B7"/>
    <w:rsid w:val="000570A6"/>
    <w:rsid w:val="00060C57"/>
    <w:rsid w:val="0006522F"/>
    <w:rsid w:val="00071F91"/>
    <w:rsid w:val="00072F55"/>
    <w:rsid w:val="00075B8B"/>
    <w:rsid w:val="00076C62"/>
    <w:rsid w:val="00082AA5"/>
    <w:rsid w:val="00083FC9"/>
    <w:rsid w:val="00084B98"/>
    <w:rsid w:val="000866ED"/>
    <w:rsid w:val="00086A0A"/>
    <w:rsid w:val="00090021"/>
    <w:rsid w:val="00091902"/>
    <w:rsid w:val="00094448"/>
    <w:rsid w:val="0009487C"/>
    <w:rsid w:val="000964D1"/>
    <w:rsid w:val="0009734C"/>
    <w:rsid w:val="000A0362"/>
    <w:rsid w:val="000A4397"/>
    <w:rsid w:val="000A44ED"/>
    <w:rsid w:val="000A5BF5"/>
    <w:rsid w:val="000B201D"/>
    <w:rsid w:val="000B2AE0"/>
    <w:rsid w:val="000B3D61"/>
    <w:rsid w:val="000B6027"/>
    <w:rsid w:val="000B7AAB"/>
    <w:rsid w:val="000B7C2E"/>
    <w:rsid w:val="000C244E"/>
    <w:rsid w:val="000C25D5"/>
    <w:rsid w:val="000C3C93"/>
    <w:rsid w:val="000C4321"/>
    <w:rsid w:val="000C4B81"/>
    <w:rsid w:val="000C65F3"/>
    <w:rsid w:val="000C77AB"/>
    <w:rsid w:val="000C7FB5"/>
    <w:rsid w:val="000D1C72"/>
    <w:rsid w:val="000D1CDC"/>
    <w:rsid w:val="000D48AD"/>
    <w:rsid w:val="000D5985"/>
    <w:rsid w:val="000D6D1F"/>
    <w:rsid w:val="000E14F0"/>
    <w:rsid w:val="000E1F5B"/>
    <w:rsid w:val="000E44B8"/>
    <w:rsid w:val="000E7842"/>
    <w:rsid w:val="000F0229"/>
    <w:rsid w:val="000F1447"/>
    <w:rsid w:val="000F1C4B"/>
    <w:rsid w:val="000F1EBA"/>
    <w:rsid w:val="000F40FC"/>
    <w:rsid w:val="000F419C"/>
    <w:rsid w:val="000F565C"/>
    <w:rsid w:val="000F7D52"/>
    <w:rsid w:val="0010044E"/>
    <w:rsid w:val="00100B3E"/>
    <w:rsid w:val="00105514"/>
    <w:rsid w:val="00106213"/>
    <w:rsid w:val="001064F7"/>
    <w:rsid w:val="001067EC"/>
    <w:rsid w:val="00110002"/>
    <w:rsid w:val="00110012"/>
    <w:rsid w:val="001154DB"/>
    <w:rsid w:val="00115586"/>
    <w:rsid w:val="0011712F"/>
    <w:rsid w:val="0012011E"/>
    <w:rsid w:val="00121613"/>
    <w:rsid w:val="001253C9"/>
    <w:rsid w:val="00125631"/>
    <w:rsid w:val="001259EE"/>
    <w:rsid w:val="00127EFF"/>
    <w:rsid w:val="001307EA"/>
    <w:rsid w:val="00131794"/>
    <w:rsid w:val="001319BF"/>
    <w:rsid w:val="00133F86"/>
    <w:rsid w:val="00134FEC"/>
    <w:rsid w:val="00135D51"/>
    <w:rsid w:val="00141488"/>
    <w:rsid w:val="001415FC"/>
    <w:rsid w:val="00142346"/>
    <w:rsid w:val="00143947"/>
    <w:rsid w:val="00143C80"/>
    <w:rsid w:val="00144C75"/>
    <w:rsid w:val="00146108"/>
    <w:rsid w:val="001462A2"/>
    <w:rsid w:val="00146773"/>
    <w:rsid w:val="00147C48"/>
    <w:rsid w:val="00147D4C"/>
    <w:rsid w:val="00150409"/>
    <w:rsid w:val="0015142E"/>
    <w:rsid w:val="00152678"/>
    <w:rsid w:val="00152E05"/>
    <w:rsid w:val="00152F7C"/>
    <w:rsid w:val="00153274"/>
    <w:rsid w:val="00153FA1"/>
    <w:rsid w:val="0015421D"/>
    <w:rsid w:val="00154308"/>
    <w:rsid w:val="00154FFD"/>
    <w:rsid w:val="00155765"/>
    <w:rsid w:val="0015581B"/>
    <w:rsid w:val="001573F1"/>
    <w:rsid w:val="001579E6"/>
    <w:rsid w:val="0016217C"/>
    <w:rsid w:val="0016357F"/>
    <w:rsid w:val="00163D52"/>
    <w:rsid w:val="001644BB"/>
    <w:rsid w:val="00165DB6"/>
    <w:rsid w:val="00166863"/>
    <w:rsid w:val="00166A4B"/>
    <w:rsid w:val="0017076E"/>
    <w:rsid w:val="00170BFE"/>
    <w:rsid w:val="00170C41"/>
    <w:rsid w:val="00171572"/>
    <w:rsid w:val="00171A46"/>
    <w:rsid w:val="00172413"/>
    <w:rsid w:val="00174FC6"/>
    <w:rsid w:val="00180109"/>
    <w:rsid w:val="00180E12"/>
    <w:rsid w:val="00181481"/>
    <w:rsid w:val="00182767"/>
    <w:rsid w:val="00183C06"/>
    <w:rsid w:val="00183C86"/>
    <w:rsid w:val="00184969"/>
    <w:rsid w:val="0018537A"/>
    <w:rsid w:val="00190F6A"/>
    <w:rsid w:val="00192389"/>
    <w:rsid w:val="00192BF7"/>
    <w:rsid w:val="00193E3F"/>
    <w:rsid w:val="00193F7E"/>
    <w:rsid w:val="0019664C"/>
    <w:rsid w:val="0019747C"/>
    <w:rsid w:val="00197862"/>
    <w:rsid w:val="00197A23"/>
    <w:rsid w:val="001A0C8A"/>
    <w:rsid w:val="001A3101"/>
    <w:rsid w:val="001A55C7"/>
    <w:rsid w:val="001A5785"/>
    <w:rsid w:val="001A62DC"/>
    <w:rsid w:val="001A7336"/>
    <w:rsid w:val="001B10F9"/>
    <w:rsid w:val="001B1525"/>
    <w:rsid w:val="001B3890"/>
    <w:rsid w:val="001B5341"/>
    <w:rsid w:val="001B5640"/>
    <w:rsid w:val="001B688C"/>
    <w:rsid w:val="001B7488"/>
    <w:rsid w:val="001B7806"/>
    <w:rsid w:val="001B7CDB"/>
    <w:rsid w:val="001C03F5"/>
    <w:rsid w:val="001C10D0"/>
    <w:rsid w:val="001C28B0"/>
    <w:rsid w:val="001C3BC6"/>
    <w:rsid w:val="001D0686"/>
    <w:rsid w:val="001D1F2F"/>
    <w:rsid w:val="001D2B35"/>
    <w:rsid w:val="001D3061"/>
    <w:rsid w:val="001D38A7"/>
    <w:rsid w:val="001D4279"/>
    <w:rsid w:val="001D478A"/>
    <w:rsid w:val="001D578F"/>
    <w:rsid w:val="001D6AC7"/>
    <w:rsid w:val="001D6DD4"/>
    <w:rsid w:val="001D6F4F"/>
    <w:rsid w:val="001D7881"/>
    <w:rsid w:val="001D7AD0"/>
    <w:rsid w:val="001E1A3A"/>
    <w:rsid w:val="001E4636"/>
    <w:rsid w:val="001E4B74"/>
    <w:rsid w:val="001E5992"/>
    <w:rsid w:val="001E74AC"/>
    <w:rsid w:val="001F07AB"/>
    <w:rsid w:val="001F0A47"/>
    <w:rsid w:val="001F2051"/>
    <w:rsid w:val="001F3202"/>
    <w:rsid w:val="001F4BFD"/>
    <w:rsid w:val="001F511B"/>
    <w:rsid w:val="001F51AD"/>
    <w:rsid w:val="001F54E7"/>
    <w:rsid w:val="001F5CAE"/>
    <w:rsid w:val="002006B5"/>
    <w:rsid w:val="00201009"/>
    <w:rsid w:val="00201E11"/>
    <w:rsid w:val="00202293"/>
    <w:rsid w:val="00203E33"/>
    <w:rsid w:val="0020414A"/>
    <w:rsid w:val="0020497F"/>
    <w:rsid w:val="00206824"/>
    <w:rsid w:val="00206AEE"/>
    <w:rsid w:val="00207C62"/>
    <w:rsid w:val="00210156"/>
    <w:rsid w:val="002105BE"/>
    <w:rsid w:val="002116C5"/>
    <w:rsid w:val="002133BE"/>
    <w:rsid w:val="00215061"/>
    <w:rsid w:val="00217E88"/>
    <w:rsid w:val="00220975"/>
    <w:rsid w:val="0022324B"/>
    <w:rsid w:val="002257B0"/>
    <w:rsid w:val="00231EFA"/>
    <w:rsid w:val="00232882"/>
    <w:rsid w:val="00234694"/>
    <w:rsid w:val="00243A51"/>
    <w:rsid w:val="0024551B"/>
    <w:rsid w:val="00250C5A"/>
    <w:rsid w:val="00250E36"/>
    <w:rsid w:val="0025200A"/>
    <w:rsid w:val="002556F6"/>
    <w:rsid w:val="002605A6"/>
    <w:rsid w:val="00260790"/>
    <w:rsid w:val="00260929"/>
    <w:rsid w:val="00261A10"/>
    <w:rsid w:val="002636E1"/>
    <w:rsid w:val="00264648"/>
    <w:rsid w:val="00264977"/>
    <w:rsid w:val="0026604B"/>
    <w:rsid w:val="002663AB"/>
    <w:rsid w:val="00266FBF"/>
    <w:rsid w:val="00267360"/>
    <w:rsid w:val="00272565"/>
    <w:rsid w:val="00273ACA"/>
    <w:rsid w:val="00273CD4"/>
    <w:rsid w:val="002747DF"/>
    <w:rsid w:val="00277751"/>
    <w:rsid w:val="002800D8"/>
    <w:rsid w:val="0028248F"/>
    <w:rsid w:val="00283A6C"/>
    <w:rsid w:val="002846DC"/>
    <w:rsid w:val="00291515"/>
    <w:rsid w:val="002926D5"/>
    <w:rsid w:val="00292F43"/>
    <w:rsid w:val="002934AC"/>
    <w:rsid w:val="00294393"/>
    <w:rsid w:val="002947C8"/>
    <w:rsid w:val="002963AE"/>
    <w:rsid w:val="00297114"/>
    <w:rsid w:val="0029765D"/>
    <w:rsid w:val="002A01E5"/>
    <w:rsid w:val="002A0522"/>
    <w:rsid w:val="002A087D"/>
    <w:rsid w:val="002A1450"/>
    <w:rsid w:val="002A1BCC"/>
    <w:rsid w:val="002A385F"/>
    <w:rsid w:val="002A3E5B"/>
    <w:rsid w:val="002A3FB8"/>
    <w:rsid w:val="002A59A3"/>
    <w:rsid w:val="002B04CD"/>
    <w:rsid w:val="002B0AFB"/>
    <w:rsid w:val="002B3ED2"/>
    <w:rsid w:val="002B439F"/>
    <w:rsid w:val="002B4A8E"/>
    <w:rsid w:val="002B55EF"/>
    <w:rsid w:val="002B5938"/>
    <w:rsid w:val="002C1246"/>
    <w:rsid w:val="002C3000"/>
    <w:rsid w:val="002D1119"/>
    <w:rsid w:val="002D1FDC"/>
    <w:rsid w:val="002D2B9E"/>
    <w:rsid w:val="002D2BC1"/>
    <w:rsid w:val="002D2C46"/>
    <w:rsid w:val="002D4816"/>
    <w:rsid w:val="002D55A4"/>
    <w:rsid w:val="002D62EC"/>
    <w:rsid w:val="002D65AA"/>
    <w:rsid w:val="002E1A70"/>
    <w:rsid w:val="002E2A61"/>
    <w:rsid w:val="002E33FE"/>
    <w:rsid w:val="002E3D8C"/>
    <w:rsid w:val="002E4412"/>
    <w:rsid w:val="002E6969"/>
    <w:rsid w:val="002F0A83"/>
    <w:rsid w:val="002F1472"/>
    <w:rsid w:val="002F1565"/>
    <w:rsid w:val="002F17CD"/>
    <w:rsid w:val="002F1DDF"/>
    <w:rsid w:val="002F3DB1"/>
    <w:rsid w:val="002F69E4"/>
    <w:rsid w:val="002F75B7"/>
    <w:rsid w:val="002F7C6A"/>
    <w:rsid w:val="003005A2"/>
    <w:rsid w:val="00300987"/>
    <w:rsid w:val="003015E8"/>
    <w:rsid w:val="003018CA"/>
    <w:rsid w:val="00302EF4"/>
    <w:rsid w:val="00303D65"/>
    <w:rsid w:val="0030484B"/>
    <w:rsid w:val="00304918"/>
    <w:rsid w:val="00305EAD"/>
    <w:rsid w:val="00306208"/>
    <w:rsid w:val="00306C97"/>
    <w:rsid w:val="003073E9"/>
    <w:rsid w:val="00307DC6"/>
    <w:rsid w:val="00310F8D"/>
    <w:rsid w:val="0031199B"/>
    <w:rsid w:val="00311C43"/>
    <w:rsid w:val="00312354"/>
    <w:rsid w:val="00312384"/>
    <w:rsid w:val="00312D02"/>
    <w:rsid w:val="00313771"/>
    <w:rsid w:val="00314EF4"/>
    <w:rsid w:val="0031546F"/>
    <w:rsid w:val="00316402"/>
    <w:rsid w:val="00320226"/>
    <w:rsid w:val="003213BA"/>
    <w:rsid w:val="003213CF"/>
    <w:rsid w:val="00324781"/>
    <w:rsid w:val="0032478C"/>
    <w:rsid w:val="00325625"/>
    <w:rsid w:val="00325A0D"/>
    <w:rsid w:val="00325A5A"/>
    <w:rsid w:val="003263B7"/>
    <w:rsid w:val="00326AA9"/>
    <w:rsid w:val="00330D80"/>
    <w:rsid w:val="0033288B"/>
    <w:rsid w:val="00333DD5"/>
    <w:rsid w:val="0033645A"/>
    <w:rsid w:val="003368AD"/>
    <w:rsid w:val="003371C8"/>
    <w:rsid w:val="00337FC1"/>
    <w:rsid w:val="00340600"/>
    <w:rsid w:val="00340B62"/>
    <w:rsid w:val="003425C3"/>
    <w:rsid w:val="003435A7"/>
    <w:rsid w:val="003454AB"/>
    <w:rsid w:val="0034588B"/>
    <w:rsid w:val="00346336"/>
    <w:rsid w:val="00350A08"/>
    <w:rsid w:val="0035534A"/>
    <w:rsid w:val="003567DD"/>
    <w:rsid w:val="003568BD"/>
    <w:rsid w:val="00356C69"/>
    <w:rsid w:val="00356E40"/>
    <w:rsid w:val="00365F8D"/>
    <w:rsid w:val="003669F4"/>
    <w:rsid w:val="00370E32"/>
    <w:rsid w:val="00370FA8"/>
    <w:rsid w:val="00371168"/>
    <w:rsid w:val="0037279F"/>
    <w:rsid w:val="0038189F"/>
    <w:rsid w:val="00381E1E"/>
    <w:rsid w:val="0038395A"/>
    <w:rsid w:val="00383A73"/>
    <w:rsid w:val="0038461A"/>
    <w:rsid w:val="00384E01"/>
    <w:rsid w:val="00385948"/>
    <w:rsid w:val="00390AA2"/>
    <w:rsid w:val="00391E44"/>
    <w:rsid w:val="00393DFB"/>
    <w:rsid w:val="003965D2"/>
    <w:rsid w:val="00396896"/>
    <w:rsid w:val="003970C7"/>
    <w:rsid w:val="003972AD"/>
    <w:rsid w:val="00397743"/>
    <w:rsid w:val="003A1AF4"/>
    <w:rsid w:val="003A32E6"/>
    <w:rsid w:val="003A379F"/>
    <w:rsid w:val="003A393A"/>
    <w:rsid w:val="003A4C17"/>
    <w:rsid w:val="003A5CBB"/>
    <w:rsid w:val="003A79D1"/>
    <w:rsid w:val="003B109A"/>
    <w:rsid w:val="003B2588"/>
    <w:rsid w:val="003B2A96"/>
    <w:rsid w:val="003B4598"/>
    <w:rsid w:val="003B4B89"/>
    <w:rsid w:val="003B5DD5"/>
    <w:rsid w:val="003B6157"/>
    <w:rsid w:val="003C024D"/>
    <w:rsid w:val="003C0CBE"/>
    <w:rsid w:val="003C1516"/>
    <w:rsid w:val="003C1B3F"/>
    <w:rsid w:val="003C2054"/>
    <w:rsid w:val="003C2533"/>
    <w:rsid w:val="003C5729"/>
    <w:rsid w:val="003C6B80"/>
    <w:rsid w:val="003C7108"/>
    <w:rsid w:val="003D07CA"/>
    <w:rsid w:val="003D5C8F"/>
    <w:rsid w:val="003D61D3"/>
    <w:rsid w:val="003D6D30"/>
    <w:rsid w:val="003D6E65"/>
    <w:rsid w:val="003D7F03"/>
    <w:rsid w:val="003E01D5"/>
    <w:rsid w:val="003E036D"/>
    <w:rsid w:val="003E0422"/>
    <w:rsid w:val="003E070E"/>
    <w:rsid w:val="003E086F"/>
    <w:rsid w:val="003E0E69"/>
    <w:rsid w:val="003E10F1"/>
    <w:rsid w:val="003E1F68"/>
    <w:rsid w:val="003E4A5C"/>
    <w:rsid w:val="003E7C40"/>
    <w:rsid w:val="003E7E6F"/>
    <w:rsid w:val="003F1284"/>
    <w:rsid w:val="003F1736"/>
    <w:rsid w:val="003F262C"/>
    <w:rsid w:val="003F2DCC"/>
    <w:rsid w:val="003F3A0D"/>
    <w:rsid w:val="003F49DE"/>
    <w:rsid w:val="003F5BB5"/>
    <w:rsid w:val="003F6661"/>
    <w:rsid w:val="003F6714"/>
    <w:rsid w:val="003F794D"/>
    <w:rsid w:val="0040137B"/>
    <w:rsid w:val="00401BD3"/>
    <w:rsid w:val="0040395E"/>
    <w:rsid w:val="00404C41"/>
    <w:rsid w:val="004058A4"/>
    <w:rsid w:val="0040607F"/>
    <w:rsid w:val="00410882"/>
    <w:rsid w:val="004109A6"/>
    <w:rsid w:val="004130DC"/>
    <w:rsid w:val="00413837"/>
    <w:rsid w:val="00414999"/>
    <w:rsid w:val="00415B81"/>
    <w:rsid w:val="00415FAD"/>
    <w:rsid w:val="00417198"/>
    <w:rsid w:val="0041750B"/>
    <w:rsid w:val="00417986"/>
    <w:rsid w:val="004222D6"/>
    <w:rsid w:val="004237BA"/>
    <w:rsid w:val="00426724"/>
    <w:rsid w:val="00426BEE"/>
    <w:rsid w:val="00431261"/>
    <w:rsid w:val="00431E73"/>
    <w:rsid w:val="00434DAF"/>
    <w:rsid w:val="00441296"/>
    <w:rsid w:val="00443D2F"/>
    <w:rsid w:val="00445CC4"/>
    <w:rsid w:val="00450375"/>
    <w:rsid w:val="0045065F"/>
    <w:rsid w:val="00450A75"/>
    <w:rsid w:val="00451166"/>
    <w:rsid w:val="00451426"/>
    <w:rsid w:val="004521FF"/>
    <w:rsid w:val="00452337"/>
    <w:rsid w:val="0045271D"/>
    <w:rsid w:val="00453787"/>
    <w:rsid w:val="0045396A"/>
    <w:rsid w:val="00453CB1"/>
    <w:rsid w:val="00455A27"/>
    <w:rsid w:val="0045659B"/>
    <w:rsid w:val="004568B1"/>
    <w:rsid w:val="00460103"/>
    <w:rsid w:val="004609C9"/>
    <w:rsid w:val="00461A24"/>
    <w:rsid w:val="00462BC6"/>
    <w:rsid w:val="00463133"/>
    <w:rsid w:val="004658C8"/>
    <w:rsid w:val="00466D2E"/>
    <w:rsid w:val="0046728A"/>
    <w:rsid w:val="004679F4"/>
    <w:rsid w:val="00470D25"/>
    <w:rsid w:val="0047137B"/>
    <w:rsid w:val="00472AE5"/>
    <w:rsid w:val="0047363C"/>
    <w:rsid w:val="00473647"/>
    <w:rsid w:val="00474B30"/>
    <w:rsid w:val="00480212"/>
    <w:rsid w:val="00483267"/>
    <w:rsid w:val="0048463B"/>
    <w:rsid w:val="00487AFB"/>
    <w:rsid w:val="00487D9D"/>
    <w:rsid w:val="004904AC"/>
    <w:rsid w:val="004907F8"/>
    <w:rsid w:val="00494B75"/>
    <w:rsid w:val="00495870"/>
    <w:rsid w:val="00496DFB"/>
    <w:rsid w:val="004A24ED"/>
    <w:rsid w:val="004A264D"/>
    <w:rsid w:val="004A2C04"/>
    <w:rsid w:val="004A60DA"/>
    <w:rsid w:val="004A6B3E"/>
    <w:rsid w:val="004B08BB"/>
    <w:rsid w:val="004B1778"/>
    <w:rsid w:val="004B3355"/>
    <w:rsid w:val="004B41D5"/>
    <w:rsid w:val="004B4C38"/>
    <w:rsid w:val="004B6B7B"/>
    <w:rsid w:val="004B6DBC"/>
    <w:rsid w:val="004B71F8"/>
    <w:rsid w:val="004C188E"/>
    <w:rsid w:val="004C25AC"/>
    <w:rsid w:val="004C2B01"/>
    <w:rsid w:val="004C304C"/>
    <w:rsid w:val="004C5215"/>
    <w:rsid w:val="004C64A7"/>
    <w:rsid w:val="004D1953"/>
    <w:rsid w:val="004D21F4"/>
    <w:rsid w:val="004D3C15"/>
    <w:rsid w:val="004D742D"/>
    <w:rsid w:val="004D7445"/>
    <w:rsid w:val="004E0B18"/>
    <w:rsid w:val="004E1FA2"/>
    <w:rsid w:val="004E2383"/>
    <w:rsid w:val="004E2E19"/>
    <w:rsid w:val="004E3478"/>
    <w:rsid w:val="004E3CD1"/>
    <w:rsid w:val="004E57A9"/>
    <w:rsid w:val="004E5E50"/>
    <w:rsid w:val="004E7878"/>
    <w:rsid w:val="004F2637"/>
    <w:rsid w:val="004F273B"/>
    <w:rsid w:val="004F3213"/>
    <w:rsid w:val="004F3658"/>
    <w:rsid w:val="004F3706"/>
    <w:rsid w:val="004F4788"/>
    <w:rsid w:val="004F62DC"/>
    <w:rsid w:val="004F6564"/>
    <w:rsid w:val="004F6DEE"/>
    <w:rsid w:val="004F7D74"/>
    <w:rsid w:val="005002A4"/>
    <w:rsid w:val="005014F0"/>
    <w:rsid w:val="00501A86"/>
    <w:rsid w:val="00502F83"/>
    <w:rsid w:val="00506636"/>
    <w:rsid w:val="00506F1B"/>
    <w:rsid w:val="005078C6"/>
    <w:rsid w:val="00507C68"/>
    <w:rsid w:val="00507E0B"/>
    <w:rsid w:val="005112D8"/>
    <w:rsid w:val="00511A95"/>
    <w:rsid w:val="00512211"/>
    <w:rsid w:val="0051493E"/>
    <w:rsid w:val="00515AF4"/>
    <w:rsid w:val="00521BCE"/>
    <w:rsid w:val="0052270B"/>
    <w:rsid w:val="005242CA"/>
    <w:rsid w:val="00525B7F"/>
    <w:rsid w:val="00526820"/>
    <w:rsid w:val="005275B5"/>
    <w:rsid w:val="00527976"/>
    <w:rsid w:val="00530A4B"/>
    <w:rsid w:val="00530EE9"/>
    <w:rsid w:val="0053170E"/>
    <w:rsid w:val="00531855"/>
    <w:rsid w:val="005327F9"/>
    <w:rsid w:val="00532828"/>
    <w:rsid w:val="005330EB"/>
    <w:rsid w:val="005333B8"/>
    <w:rsid w:val="005346F5"/>
    <w:rsid w:val="00535C0E"/>
    <w:rsid w:val="00541E9B"/>
    <w:rsid w:val="00542BA5"/>
    <w:rsid w:val="0054516E"/>
    <w:rsid w:val="00545AAE"/>
    <w:rsid w:val="00546374"/>
    <w:rsid w:val="00547245"/>
    <w:rsid w:val="00551ACA"/>
    <w:rsid w:val="00553840"/>
    <w:rsid w:val="00553E3B"/>
    <w:rsid w:val="005549AA"/>
    <w:rsid w:val="00554F89"/>
    <w:rsid w:val="0055620C"/>
    <w:rsid w:val="0055696B"/>
    <w:rsid w:val="00560A8A"/>
    <w:rsid w:val="00561186"/>
    <w:rsid w:val="005612BA"/>
    <w:rsid w:val="00561E0D"/>
    <w:rsid w:val="00562437"/>
    <w:rsid w:val="00562A5E"/>
    <w:rsid w:val="00562F33"/>
    <w:rsid w:val="00563952"/>
    <w:rsid w:val="00563E9E"/>
    <w:rsid w:val="005704FF"/>
    <w:rsid w:val="00570BA4"/>
    <w:rsid w:val="005710E5"/>
    <w:rsid w:val="00572C9F"/>
    <w:rsid w:val="00573609"/>
    <w:rsid w:val="0057459C"/>
    <w:rsid w:val="00574674"/>
    <w:rsid w:val="00575890"/>
    <w:rsid w:val="00576D08"/>
    <w:rsid w:val="00577843"/>
    <w:rsid w:val="00577E99"/>
    <w:rsid w:val="00581455"/>
    <w:rsid w:val="00582C92"/>
    <w:rsid w:val="00583557"/>
    <w:rsid w:val="005850D7"/>
    <w:rsid w:val="005855EF"/>
    <w:rsid w:val="00586EAC"/>
    <w:rsid w:val="00587B64"/>
    <w:rsid w:val="0059108C"/>
    <w:rsid w:val="00591346"/>
    <w:rsid w:val="00593E4A"/>
    <w:rsid w:val="00596160"/>
    <w:rsid w:val="00597CB5"/>
    <w:rsid w:val="00597F6B"/>
    <w:rsid w:val="005A243A"/>
    <w:rsid w:val="005A3722"/>
    <w:rsid w:val="005A5273"/>
    <w:rsid w:val="005A53FE"/>
    <w:rsid w:val="005A7169"/>
    <w:rsid w:val="005A7C6E"/>
    <w:rsid w:val="005B0EF6"/>
    <w:rsid w:val="005B4349"/>
    <w:rsid w:val="005B770B"/>
    <w:rsid w:val="005C0148"/>
    <w:rsid w:val="005C1A5C"/>
    <w:rsid w:val="005C2002"/>
    <w:rsid w:val="005C45CA"/>
    <w:rsid w:val="005C593E"/>
    <w:rsid w:val="005C5AC4"/>
    <w:rsid w:val="005C5F57"/>
    <w:rsid w:val="005C64ED"/>
    <w:rsid w:val="005C7314"/>
    <w:rsid w:val="005C7AC1"/>
    <w:rsid w:val="005D0014"/>
    <w:rsid w:val="005D02ED"/>
    <w:rsid w:val="005D1296"/>
    <w:rsid w:val="005D26B6"/>
    <w:rsid w:val="005D5128"/>
    <w:rsid w:val="005D58FE"/>
    <w:rsid w:val="005D6012"/>
    <w:rsid w:val="005E134A"/>
    <w:rsid w:val="005E21DF"/>
    <w:rsid w:val="005E2ED7"/>
    <w:rsid w:val="005E45F5"/>
    <w:rsid w:val="005E4C30"/>
    <w:rsid w:val="005E6688"/>
    <w:rsid w:val="005E7873"/>
    <w:rsid w:val="005E7F12"/>
    <w:rsid w:val="005F05E4"/>
    <w:rsid w:val="005F26E2"/>
    <w:rsid w:val="005F40BF"/>
    <w:rsid w:val="005F6F3A"/>
    <w:rsid w:val="005F74FB"/>
    <w:rsid w:val="005F7EEE"/>
    <w:rsid w:val="0060244A"/>
    <w:rsid w:val="00603208"/>
    <w:rsid w:val="006034EF"/>
    <w:rsid w:val="0060474F"/>
    <w:rsid w:val="00604E18"/>
    <w:rsid w:val="00606D2F"/>
    <w:rsid w:val="00607D22"/>
    <w:rsid w:val="0061036F"/>
    <w:rsid w:val="006108D8"/>
    <w:rsid w:val="006110FD"/>
    <w:rsid w:val="00611C85"/>
    <w:rsid w:val="006123AC"/>
    <w:rsid w:val="00612E92"/>
    <w:rsid w:val="00613D49"/>
    <w:rsid w:val="00615047"/>
    <w:rsid w:val="006164C7"/>
    <w:rsid w:val="0062083C"/>
    <w:rsid w:val="00620A19"/>
    <w:rsid w:val="00623C4E"/>
    <w:rsid w:val="00623F24"/>
    <w:rsid w:val="00624517"/>
    <w:rsid w:val="0062616D"/>
    <w:rsid w:val="0062622E"/>
    <w:rsid w:val="00626237"/>
    <w:rsid w:val="00626260"/>
    <w:rsid w:val="00627080"/>
    <w:rsid w:val="00627CC2"/>
    <w:rsid w:val="00631A4D"/>
    <w:rsid w:val="00631B0D"/>
    <w:rsid w:val="0063385B"/>
    <w:rsid w:val="00636101"/>
    <w:rsid w:val="00636155"/>
    <w:rsid w:val="00643416"/>
    <w:rsid w:val="00643566"/>
    <w:rsid w:val="00644957"/>
    <w:rsid w:val="006449AE"/>
    <w:rsid w:val="00651458"/>
    <w:rsid w:val="006514A5"/>
    <w:rsid w:val="00651645"/>
    <w:rsid w:val="00652A2D"/>
    <w:rsid w:val="00654702"/>
    <w:rsid w:val="006553D3"/>
    <w:rsid w:val="006569AF"/>
    <w:rsid w:val="006575E3"/>
    <w:rsid w:val="00657925"/>
    <w:rsid w:val="006600B9"/>
    <w:rsid w:val="006600CD"/>
    <w:rsid w:val="00660A08"/>
    <w:rsid w:val="00660BF8"/>
    <w:rsid w:val="00660C94"/>
    <w:rsid w:val="006619F0"/>
    <w:rsid w:val="00661B6C"/>
    <w:rsid w:val="00662135"/>
    <w:rsid w:val="006630F4"/>
    <w:rsid w:val="0066317B"/>
    <w:rsid w:val="00663261"/>
    <w:rsid w:val="0066634C"/>
    <w:rsid w:val="0066659A"/>
    <w:rsid w:val="006672A7"/>
    <w:rsid w:val="0067036D"/>
    <w:rsid w:val="00670B82"/>
    <w:rsid w:val="00670F30"/>
    <w:rsid w:val="00674C02"/>
    <w:rsid w:val="00676A0B"/>
    <w:rsid w:val="00677E04"/>
    <w:rsid w:val="00680186"/>
    <w:rsid w:val="00680AC8"/>
    <w:rsid w:val="006812E7"/>
    <w:rsid w:val="0068130A"/>
    <w:rsid w:val="006816D9"/>
    <w:rsid w:val="00681C49"/>
    <w:rsid w:val="00681D2C"/>
    <w:rsid w:val="00682802"/>
    <w:rsid w:val="0068427D"/>
    <w:rsid w:val="00685D00"/>
    <w:rsid w:val="00686200"/>
    <w:rsid w:val="00687188"/>
    <w:rsid w:val="006872E3"/>
    <w:rsid w:val="00687B36"/>
    <w:rsid w:val="00692BE2"/>
    <w:rsid w:val="006936E8"/>
    <w:rsid w:val="00695E09"/>
    <w:rsid w:val="00695F02"/>
    <w:rsid w:val="00696AE0"/>
    <w:rsid w:val="0069710E"/>
    <w:rsid w:val="006A0A33"/>
    <w:rsid w:val="006A1B99"/>
    <w:rsid w:val="006A1BC5"/>
    <w:rsid w:val="006A22C4"/>
    <w:rsid w:val="006A4B11"/>
    <w:rsid w:val="006A4FCC"/>
    <w:rsid w:val="006A6D2D"/>
    <w:rsid w:val="006A7093"/>
    <w:rsid w:val="006B16A4"/>
    <w:rsid w:val="006B4BF2"/>
    <w:rsid w:val="006B5056"/>
    <w:rsid w:val="006B53CB"/>
    <w:rsid w:val="006C03D0"/>
    <w:rsid w:val="006C1840"/>
    <w:rsid w:val="006C28DA"/>
    <w:rsid w:val="006C3647"/>
    <w:rsid w:val="006C4600"/>
    <w:rsid w:val="006C50A0"/>
    <w:rsid w:val="006D1006"/>
    <w:rsid w:val="006D1D86"/>
    <w:rsid w:val="006D1F78"/>
    <w:rsid w:val="006D26E5"/>
    <w:rsid w:val="006D436C"/>
    <w:rsid w:val="006D4874"/>
    <w:rsid w:val="006D5883"/>
    <w:rsid w:val="006D5984"/>
    <w:rsid w:val="006D70A5"/>
    <w:rsid w:val="006E2018"/>
    <w:rsid w:val="006E20C7"/>
    <w:rsid w:val="006E318A"/>
    <w:rsid w:val="006E4298"/>
    <w:rsid w:val="006E44B3"/>
    <w:rsid w:val="006E63CA"/>
    <w:rsid w:val="006E6B3B"/>
    <w:rsid w:val="006F0AF4"/>
    <w:rsid w:val="006F0DFF"/>
    <w:rsid w:val="006F1387"/>
    <w:rsid w:val="006F141B"/>
    <w:rsid w:val="006F23AB"/>
    <w:rsid w:val="006F24DE"/>
    <w:rsid w:val="006F27C6"/>
    <w:rsid w:val="006F2EB9"/>
    <w:rsid w:val="006F400F"/>
    <w:rsid w:val="006F44D8"/>
    <w:rsid w:val="006F6E95"/>
    <w:rsid w:val="0070002D"/>
    <w:rsid w:val="007019E8"/>
    <w:rsid w:val="00703F4F"/>
    <w:rsid w:val="00704BEF"/>
    <w:rsid w:val="00705428"/>
    <w:rsid w:val="007075F0"/>
    <w:rsid w:val="0071151A"/>
    <w:rsid w:val="007135E4"/>
    <w:rsid w:val="00713938"/>
    <w:rsid w:val="00715764"/>
    <w:rsid w:val="00715D61"/>
    <w:rsid w:val="007167FA"/>
    <w:rsid w:val="00717B60"/>
    <w:rsid w:val="007213F2"/>
    <w:rsid w:val="007227CC"/>
    <w:rsid w:val="007238F7"/>
    <w:rsid w:val="00723BCE"/>
    <w:rsid w:val="007257FB"/>
    <w:rsid w:val="007263B4"/>
    <w:rsid w:val="007273DF"/>
    <w:rsid w:val="00727653"/>
    <w:rsid w:val="00732448"/>
    <w:rsid w:val="00734ABD"/>
    <w:rsid w:val="00734D45"/>
    <w:rsid w:val="0074303E"/>
    <w:rsid w:val="00743E0C"/>
    <w:rsid w:val="00744E48"/>
    <w:rsid w:val="0074604B"/>
    <w:rsid w:val="007470F9"/>
    <w:rsid w:val="00750309"/>
    <w:rsid w:val="00750642"/>
    <w:rsid w:val="00750A1B"/>
    <w:rsid w:val="0075148D"/>
    <w:rsid w:val="00751D45"/>
    <w:rsid w:val="0075355A"/>
    <w:rsid w:val="00755060"/>
    <w:rsid w:val="00760FEB"/>
    <w:rsid w:val="00761713"/>
    <w:rsid w:val="007622A6"/>
    <w:rsid w:val="00762315"/>
    <w:rsid w:val="007628B7"/>
    <w:rsid w:val="00762BD9"/>
    <w:rsid w:val="00762F03"/>
    <w:rsid w:val="00763A59"/>
    <w:rsid w:val="007653BA"/>
    <w:rsid w:val="007668AB"/>
    <w:rsid w:val="007670DC"/>
    <w:rsid w:val="00767D9F"/>
    <w:rsid w:val="0077337C"/>
    <w:rsid w:val="00773D22"/>
    <w:rsid w:val="00773EF9"/>
    <w:rsid w:val="0077408F"/>
    <w:rsid w:val="00774598"/>
    <w:rsid w:val="00775380"/>
    <w:rsid w:val="007754EB"/>
    <w:rsid w:val="00775580"/>
    <w:rsid w:val="007761B1"/>
    <w:rsid w:val="00776547"/>
    <w:rsid w:val="00776B6C"/>
    <w:rsid w:val="00776F72"/>
    <w:rsid w:val="007829D8"/>
    <w:rsid w:val="0078381F"/>
    <w:rsid w:val="00783A60"/>
    <w:rsid w:val="00784730"/>
    <w:rsid w:val="007851B8"/>
    <w:rsid w:val="00785F69"/>
    <w:rsid w:val="0078729F"/>
    <w:rsid w:val="00787DAB"/>
    <w:rsid w:val="007904B5"/>
    <w:rsid w:val="007911E4"/>
    <w:rsid w:val="00792E05"/>
    <w:rsid w:val="00792FAA"/>
    <w:rsid w:val="00794761"/>
    <w:rsid w:val="007954D7"/>
    <w:rsid w:val="007A0175"/>
    <w:rsid w:val="007A084F"/>
    <w:rsid w:val="007A0D54"/>
    <w:rsid w:val="007A53F3"/>
    <w:rsid w:val="007A5A96"/>
    <w:rsid w:val="007A6B79"/>
    <w:rsid w:val="007A7E1B"/>
    <w:rsid w:val="007B17FB"/>
    <w:rsid w:val="007B2907"/>
    <w:rsid w:val="007B43C7"/>
    <w:rsid w:val="007B4894"/>
    <w:rsid w:val="007B4ADB"/>
    <w:rsid w:val="007B551C"/>
    <w:rsid w:val="007B5FB3"/>
    <w:rsid w:val="007B6057"/>
    <w:rsid w:val="007B6F11"/>
    <w:rsid w:val="007B7060"/>
    <w:rsid w:val="007C007C"/>
    <w:rsid w:val="007C079B"/>
    <w:rsid w:val="007C1241"/>
    <w:rsid w:val="007C39C9"/>
    <w:rsid w:val="007C5C11"/>
    <w:rsid w:val="007C7CAC"/>
    <w:rsid w:val="007D1955"/>
    <w:rsid w:val="007D28B6"/>
    <w:rsid w:val="007D33D0"/>
    <w:rsid w:val="007D50FB"/>
    <w:rsid w:val="007D58A0"/>
    <w:rsid w:val="007D7EA3"/>
    <w:rsid w:val="007E0E13"/>
    <w:rsid w:val="007E162E"/>
    <w:rsid w:val="007E1AAF"/>
    <w:rsid w:val="007E510C"/>
    <w:rsid w:val="007E569B"/>
    <w:rsid w:val="007E7F8C"/>
    <w:rsid w:val="007F0A2D"/>
    <w:rsid w:val="007F0F9A"/>
    <w:rsid w:val="007F1F0D"/>
    <w:rsid w:val="007F3CED"/>
    <w:rsid w:val="007F3EEC"/>
    <w:rsid w:val="007F4C73"/>
    <w:rsid w:val="007F536C"/>
    <w:rsid w:val="007F5630"/>
    <w:rsid w:val="007F5850"/>
    <w:rsid w:val="007F63C1"/>
    <w:rsid w:val="008001D4"/>
    <w:rsid w:val="00800C70"/>
    <w:rsid w:val="0080162E"/>
    <w:rsid w:val="0080191F"/>
    <w:rsid w:val="00801ADB"/>
    <w:rsid w:val="008027F5"/>
    <w:rsid w:val="00802DDE"/>
    <w:rsid w:val="00803AA2"/>
    <w:rsid w:val="00803D4C"/>
    <w:rsid w:val="00804C5F"/>
    <w:rsid w:val="0080506B"/>
    <w:rsid w:val="0080575A"/>
    <w:rsid w:val="008072EA"/>
    <w:rsid w:val="00812AF3"/>
    <w:rsid w:val="00814A7F"/>
    <w:rsid w:val="008164E2"/>
    <w:rsid w:val="00816575"/>
    <w:rsid w:val="008169E1"/>
    <w:rsid w:val="008175A2"/>
    <w:rsid w:val="00820278"/>
    <w:rsid w:val="0082045B"/>
    <w:rsid w:val="00820C93"/>
    <w:rsid w:val="00821A3E"/>
    <w:rsid w:val="00825F58"/>
    <w:rsid w:val="00825FC0"/>
    <w:rsid w:val="008260EA"/>
    <w:rsid w:val="00827DD3"/>
    <w:rsid w:val="00833B97"/>
    <w:rsid w:val="00834440"/>
    <w:rsid w:val="008346C1"/>
    <w:rsid w:val="0083629C"/>
    <w:rsid w:val="00841812"/>
    <w:rsid w:val="0084196A"/>
    <w:rsid w:val="00842066"/>
    <w:rsid w:val="008427F7"/>
    <w:rsid w:val="00842AFC"/>
    <w:rsid w:val="00842C1A"/>
    <w:rsid w:val="00843651"/>
    <w:rsid w:val="00843699"/>
    <w:rsid w:val="0084376D"/>
    <w:rsid w:val="00844620"/>
    <w:rsid w:val="008449C2"/>
    <w:rsid w:val="008464B7"/>
    <w:rsid w:val="00846675"/>
    <w:rsid w:val="008520CB"/>
    <w:rsid w:val="008540FC"/>
    <w:rsid w:val="00856F92"/>
    <w:rsid w:val="00860F79"/>
    <w:rsid w:val="008617FE"/>
    <w:rsid w:val="00862278"/>
    <w:rsid w:val="00867998"/>
    <w:rsid w:val="00870A1A"/>
    <w:rsid w:val="00870A95"/>
    <w:rsid w:val="00873AEF"/>
    <w:rsid w:val="0087619D"/>
    <w:rsid w:val="00877FD3"/>
    <w:rsid w:val="008810F0"/>
    <w:rsid w:val="0088150C"/>
    <w:rsid w:val="008817CA"/>
    <w:rsid w:val="0088286A"/>
    <w:rsid w:val="00886803"/>
    <w:rsid w:val="00886D0A"/>
    <w:rsid w:val="008900CF"/>
    <w:rsid w:val="00891BF8"/>
    <w:rsid w:val="00892A5E"/>
    <w:rsid w:val="0089334A"/>
    <w:rsid w:val="00894051"/>
    <w:rsid w:val="0089529E"/>
    <w:rsid w:val="00896C85"/>
    <w:rsid w:val="008972A2"/>
    <w:rsid w:val="008A0DF6"/>
    <w:rsid w:val="008A1D1A"/>
    <w:rsid w:val="008A2757"/>
    <w:rsid w:val="008A2A4F"/>
    <w:rsid w:val="008A34DC"/>
    <w:rsid w:val="008A3587"/>
    <w:rsid w:val="008A56BC"/>
    <w:rsid w:val="008A5EBF"/>
    <w:rsid w:val="008A5ECE"/>
    <w:rsid w:val="008A79CA"/>
    <w:rsid w:val="008B0492"/>
    <w:rsid w:val="008B1432"/>
    <w:rsid w:val="008B174F"/>
    <w:rsid w:val="008B241A"/>
    <w:rsid w:val="008B435B"/>
    <w:rsid w:val="008B494D"/>
    <w:rsid w:val="008B5CD5"/>
    <w:rsid w:val="008B63D2"/>
    <w:rsid w:val="008C0B9F"/>
    <w:rsid w:val="008C2170"/>
    <w:rsid w:val="008C2DFB"/>
    <w:rsid w:val="008C3AEB"/>
    <w:rsid w:val="008C4644"/>
    <w:rsid w:val="008C591A"/>
    <w:rsid w:val="008C618E"/>
    <w:rsid w:val="008C7380"/>
    <w:rsid w:val="008C7C73"/>
    <w:rsid w:val="008D04D1"/>
    <w:rsid w:val="008D0D3F"/>
    <w:rsid w:val="008D1EE8"/>
    <w:rsid w:val="008D219C"/>
    <w:rsid w:val="008D2CE3"/>
    <w:rsid w:val="008D6BDE"/>
    <w:rsid w:val="008D6C2E"/>
    <w:rsid w:val="008D6FC7"/>
    <w:rsid w:val="008D714B"/>
    <w:rsid w:val="008E2CDB"/>
    <w:rsid w:val="008E2DA8"/>
    <w:rsid w:val="008E3ACB"/>
    <w:rsid w:val="008E5058"/>
    <w:rsid w:val="008E7D28"/>
    <w:rsid w:val="008F049C"/>
    <w:rsid w:val="008F0537"/>
    <w:rsid w:val="008F0670"/>
    <w:rsid w:val="008F0911"/>
    <w:rsid w:val="008F0919"/>
    <w:rsid w:val="008F48D0"/>
    <w:rsid w:val="008F4DB1"/>
    <w:rsid w:val="008F5FD7"/>
    <w:rsid w:val="008F6742"/>
    <w:rsid w:val="00900F11"/>
    <w:rsid w:val="00901978"/>
    <w:rsid w:val="0090216C"/>
    <w:rsid w:val="00902709"/>
    <w:rsid w:val="00902A61"/>
    <w:rsid w:val="00903827"/>
    <w:rsid w:val="0090487B"/>
    <w:rsid w:val="00905564"/>
    <w:rsid w:val="00905808"/>
    <w:rsid w:val="00905EF6"/>
    <w:rsid w:val="00906D5A"/>
    <w:rsid w:val="0091053A"/>
    <w:rsid w:val="0091103A"/>
    <w:rsid w:val="0091218C"/>
    <w:rsid w:val="00913665"/>
    <w:rsid w:val="00913827"/>
    <w:rsid w:val="00913A17"/>
    <w:rsid w:val="00915EE5"/>
    <w:rsid w:val="0091648A"/>
    <w:rsid w:val="0091671A"/>
    <w:rsid w:val="0091773B"/>
    <w:rsid w:val="00921573"/>
    <w:rsid w:val="00921591"/>
    <w:rsid w:val="00922171"/>
    <w:rsid w:val="00922780"/>
    <w:rsid w:val="009250D7"/>
    <w:rsid w:val="00926585"/>
    <w:rsid w:val="00926811"/>
    <w:rsid w:val="00927633"/>
    <w:rsid w:val="00932C14"/>
    <w:rsid w:val="00933F8A"/>
    <w:rsid w:val="00937121"/>
    <w:rsid w:val="00937A7A"/>
    <w:rsid w:val="00937FF3"/>
    <w:rsid w:val="00941B41"/>
    <w:rsid w:val="00941DF5"/>
    <w:rsid w:val="009424FC"/>
    <w:rsid w:val="00942723"/>
    <w:rsid w:val="00943AEC"/>
    <w:rsid w:val="009456DC"/>
    <w:rsid w:val="00946B9E"/>
    <w:rsid w:val="00946C8A"/>
    <w:rsid w:val="00947424"/>
    <w:rsid w:val="00947688"/>
    <w:rsid w:val="00950366"/>
    <w:rsid w:val="00950C18"/>
    <w:rsid w:val="00954E81"/>
    <w:rsid w:val="00955017"/>
    <w:rsid w:val="00956C87"/>
    <w:rsid w:val="00957413"/>
    <w:rsid w:val="0095797C"/>
    <w:rsid w:val="00957FAE"/>
    <w:rsid w:val="00961B22"/>
    <w:rsid w:val="0096227B"/>
    <w:rsid w:val="00964E79"/>
    <w:rsid w:val="00966D76"/>
    <w:rsid w:val="009676FE"/>
    <w:rsid w:val="00970DAD"/>
    <w:rsid w:val="00971693"/>
    <w:rsid w:val="00972517"/>
    <w:rsid w:val="00972CCE"/>
    <w:rsid w:val="009731A8"/>
    <w:rsid w:val="00973C38"/>
    <w:rsid w:val="00975B5D"/>
    <w:rsid w:val="00975B77"/>
    <w:rsid w:val="009762E0"/>
    <w:rsid w:val="00976693"/>
    <w:rsid w:val="00976E94"/>
    <w:rsid w:val="009773B2"/>
    <w:rsid w:val="00977C6A"/>
    <w:rsid w:val="009806BD"/>
    <w:rsid w:val="00981AF1"/>
    <w:rsid w:val="0098312D"/>
    <w:rsid w:val="0098344E"/>
    <w:rsid w:val="009839A3"/>
    <w:rsid w:val="00983DAA"/>
    <w:rsid w:val="00984685"/>
    <w:rsid w:val="00984F27"/>
    <w:rsid w:val="009859A5"/>
    <w:rsid w:val="009878D6"/>
    <w:rsid w:val="009915B1"/>
    <w:rsid w:val="009915E4"/>
    <w:rsid w:val="00994DC3"/>
    <w:rsid w:val="009960E9"/>
    <w:rsid w:val="009A01BC"/>
    <w:rsid w:val="009A0E31"/>
    <w:rsid w:val="009A2633"/>
    <w:rsid w:val="009A2E96"/>
    <w:rsid w:val="009A302E"/>
    <w:rsid w:val="009A3AC8"/>
    <w:rsid w:val="009A5407"/>
    <w:rsid w:val="009A76A3"/>
    <w:rsid w:val="009A778A"/>
    <w:rsid w:val="009A7A68"/>
    <w:rsid w:val="009B059A"/>
    <w:rsid w:val="009B1D99"/>
    <w:rsid w:val="009B35E4"/>
    <w:rsid w:val="009B40CB"/>
    <w:rsid w:val="009B5745"/>
    <w:rsid w:val="009B5C34"/>
    <w:rsid w:val="009B707E"/>
    <w:rsid w:val="009C10F2"/>
    <w:rsid w:val="009C295F"/>
    <w:rsid w:val="009C2C15"/>
    <w:rsid w:val="009C3C23"/>
    <w:rsid w:val="009C4233"/>
    <w:rsid w:val="009C42AD"/>
    <w:rsid w:val="009C489E"/>
    <w:rsid w:val="009C668C"/>
    <w:rsid w:val="009C6932"/>
    <w:rsid w:val="009C6A1D"/>
    <w:rsid w:val="009D0085"/>
    <w:rsid w:val="009D1495"/>
    <w:rsid w:val="009D2368"/>
    <w:rsid w:val="009D2852"/>
    <w:rsid w:val="009D5B8F"/>
    <w:rsid w:val="009D7293"/>
    <w:rsid w:val="009D7652"/>
    <w:rsid w:val="009E3A45"/>
    <w:rsid w:val="009E3B29"/>
    <w:rsid w:val="009E4A2C"/>
    <w:rsid w:val="009E50BC"/>
    <w:rsid w:val="009E51D2"/>
    <w:rsid w:val="009E5C66"/>
    <w:rsid w:val="009E5C9F"/>
    <w:rsid w:val="009E690D"/>
    <w:rsid w:val="009E69D5"/>
    <w:rsid w:val="009E6E2A"/>
    <w:rsid w:val="009E72A9"/>
    <w:rsid w:val="009F1391"/>
    <w:rsid w:val="009F1BA8"/>
    <w:rsid w:val="009F5E44"/>
    <w:rsid w:val="009F649A"/>
    <w:rsid w:val="009F6953"/>
    <w:rsid w:val="00A002D6"/>
    <w:rsid w:val="00A00ECA"/>
    <w:rsid w:val="00A076C8"/>
    <w:rsid w:val="00A1064E"/>
    <w:rsid w:val="00A12DA6"/>
    <w:rsid w:val="00A137D3"/>
    <w:rsid w:val="00A15743"/>
    <w:rsid w:val="00A166ED"/>
    <w:rsid w:val="00A1787B"/>
    <w:rsid w:val="00A17DFB"/>
    <w:rsid w:val="00A207DF"/>
    <w:rsid w:val="00A215B7"/>
    <w:rsid w:val="00A24E58"/>
    <w:rsid w:val="00A26A7E"/>
    <w:rsid w:val="00A26C07"/>
    <w:rsid w:val="00A273AE"/>
    <w:rsid w:val="00A32D70"/>
    <w:rsid w:val="00A33099"/>
    <w:rsid w:val="00A33DF6"/>
    <w:rsid w:val="00A40813"/>
    <w:rsid w:val="00A40BCD"/>
    <w:rsid w:val="00A40D32"/>
    <w:rsid w:val="00A40E1D"/>
    <w:rsid w:val="00A4164A"/>
    <w:rsid w:val="00A417FC"/>
    <w:rsid w:val="00A426AE"/>
    <w:rsid w:val="00A43ED8"/>
    <w:rsid w:val="00A440A4"/>
    <w:rsid w:val="00A4469D"/>
    <w:rsid w:val="00A4496D"/>
    <w:rsid w:val="00A44A4D"/>
    <w:rsid w:val="00A44BB0"/>
    <w:rsid w:val="00A47510"/>
    <w:rsid w:val="00A502C7"/>
    <w:rsid w:val="00A50A8C"/>
    <w:rsid w:val="00A50E2F"/>
    <w:rsid w:val="00A5263D"/>
    <w:rsid w:val="00A53316"/>
    <w:rsid w:val="00A54FA2"/>
    <w:rsid w:val="00A556CC"/>
    <w:rsid w:val="00A55A3E"/>
    <w:rsid w:val="00A56525"/>
    <w:rsid w:val="00A62506"/>
    <w:rsid w:val="00A663DA"/>
    <w:rsid w:val="00A6739D"/>
    <w:rsid w:val="00A67970"/>
    <w:rsid w:val="00A70E6F"/>
    <w:rsid w:val="00A726BC"/>
    <w:rsid w:val="00A72BF3"/>
    <w:rsid w:val="00A72C91"/>
    <w:rsid w:val="00A74BA0"/>
    <w:rsid w:val="00A768E2"/>
    <w:rsid w:val="00A76BDF"/>
    <w:rsid w:val="00A81680"/>
    <w:rsid w:val="00A82B1A"/>
    <w:rsid w:val="00A86B1E"/>
    <w:rsid w:val="00A87E14"/>
    <w:rsid w:val="00A90715"/>
    <w:rsid w:val="00A92AFF"/>
    <w:rsid w:val="00A93711"/>
    <w:rsid w:val="00A944DF"/>
    <w:rsid w:val="00A94BCB"/>
    <w:rsid w:val="00A96FC8"/>
    <w:rsid w:val="00A97580"/>
    <w:rsid w:val="00A9777A"/>
    <w:rsid w:val="00AA1058"/>
    <w:rsid w:val="00AA20B4"/>
    <w:rsid w:val="00AA499A"/>
    <w:rsid w:val="00AA728B"/>
    <w:rsid w:val="00AB0BBC"/>
    <w:rsid w:val="00AB0D4D"/>
    <w:rsid w:val="00AB1D98"/>
    <w:rsid w:val="00AB2917"/>
    <w:rsid w:val="00AB38E2"/>
    <w:rsid w:val="00AB6B6B"/>
    <w:rsid w:val="00AB7B15"/>
    <w:rsid w:val="00AC0845"/>
    <w:rsid w:val="00AC08C2"/>
    <w:rsid w:val="00AC2572"/>
    <w:rsid w:val="00AC3F2A"/>
    <w:rsid w:val="00AD043F"/>
    <w:rsid w:val="00AD10BF"/>
    <w:rsid w:val="00AD168C"/>
    <w:rsid w:val="00AD2515"/>
    <w:rsid w:val="00AD269C"/>
    <w:rsid w:val="00AD29C2"/>
    <w:rsid w:val="00AD41D8"/>
    <w:rsid w:val="00AD4776"/>
    <w:rsid w:val="00AD4D97"/>
    <w:rsid w:val="00AD5236"/>
    <w:rsid w:val="00AD7C86"/>
    <w:rsid w:val="00AE035A"/>
    <w:rsid w:val="00AE2555"/>
    <w:rsid w:val="00AE2631"/>
    <w:rsid w:val="00AE3638"/>
    <w:rsid w:val="00AE3BC8"/>
    <w:rsid w:val="00AE596E"/>
    <w:rsid w:val="00AE5A1B"/>
    <w:rsid w:val="00AF0E04"/>
    <w:rsid w:val="00AF1678"/>
    <w:rsid w:val="00AF24EE"/>
    <w:rsid w:val="00AF3620"/>
    <w:rsid w:val="00AF3754"/>
    <w:rsid w:val="00AF3AA3"/>
    <w:rsid w:val="00AF3CEE"/>
    <w:rsid w:val="00AF4FE8"/>
    <w:rsid w:val="00AF5014"/>
    <w:rsid w:val="00AF60F5"/>
    <w:rsid w:val="00AF617A"/>
    <w:rsid w:val="00B03C6E"/>
    <w:rsid w:val="00B0414D"/>
    <w:rsid w:val="00B04AEF"/>
    <w:rsid w:val="00B068D7"/>
    <w:rsid w:val="00B06921"/>
    <w:rsid w:val="00B1194A"/>
    <w:rsid w:val="00B12877"/>
    <w:rsid w:val="00B12BFE"/>
    <w:rsid w:val="00B1398B"/>
    <w:rsid w:val="00B13A85"/>
    <w:rsid w:val="00B153EB"/>
    <w:rsid w:val="00B155D7"/>
    <w:rsid w:val="00B15A3A"/>
    <w:rsid w:val="00B17867"/>
    <w:rsid w:val="00B21ED8"/>
    <w:rsid w:val="00B22D2A"/>
    <w:rsid w:val="00B2385A"/>
    <w:rsid w:val="00B30BB6"/>
    <w:rsid w:val="00B332BA"/>
    <w:rsid w:val="00B34D22"/>
    <w:rsid w:val="00B34F8E"/>
    <w:rsid w:val="00B356AD"/>
    <w:rsid w:val="00B35993"/>
    <w:rsid w:val="00B36600"/>
    <w:rsid w:val="00B36827"/>
    <w:rsid w:val="00B369DC"/>
    <w:rsid w:val="00B430ED"/>
    <w:rsid w:val="00B43699"/>
    <w:rsid w:val="00B45159"/>
    <w:rsid w:val="00B45998"/>
    <w:rsid w:val="00B47319"/>
    <w:rsid w:val="00B477DE"/>
    <w:rsid w:val="00B479D5"/>
    <w:rsid w:val="00B50A65"/>
    <w:rsid w:val="00B515D6"/>
    <w:rsid w:val="00B54D2B"/>
    <w:rsid w:val="00B55577"/>
    <w:rsid w:val="00B56F62"/>
    <w:rsid w:val="00B72E33"/>
    <w:rsid w:val="00B741FF"/>
    <w:rsid w:val="00B75AAA"/>
    <w:rsid w:val="00B760AA"/>
    <w:rsid w:val="00B76F77"/>
    <w:rsid w:val="00B77CA5"/>
    <w:rsid w:val="00B81306"/>
    <w:rsid w:val="00B84394"/>
    <w:rsid w:val="00B84754"/>
    <w:rsid w:val="00B87833"/>
    <w:rsid w:val="00B87935"/>
    <w:rsid w:val="00B90527"/>
    <w:rsid w:val="00B9252E"/>
    <w:rsid w:val="00B92BFA"/>
    <w:rsid w:val="00B94752"/>
    <w:rsid w:val="00BA03C0"/>
    <w:rsid w:val="00BA51CA"/>
    <w:rsid w:val="00BA52F7"/>
    <w:rsid w:val="00BA6EDC"/>
    <w:rsid w:val="00BA7458"/>
    <w:rsid w:val="00BB305F"/>
    <w:rsid w:val="00BB3764"/>
    <w:rsid w:val="00BB3DA8"/>
    <w:rsid w:val="00BC0166"/>
    <w:rsid w:val="00BC2756"/>
    <w:rsid w:val="00BC40E0"/>
    <w:rsid w:val="00BC42C6"/>
    <w:rsid w:val="00BC6F39"/>
    <w:rsid w:val="00BC7966"/>
    <w:rsid w:val="00BC7A53"/>
    <w:rsid w:val="00BD1496"/>
    <w:rsid w:val="00BD16F5"/>
    <w:rsid w:val="00BD1776"/>
    <w:rsid w:val="00BD3B0D"/>
    <w:rsid w:val="00BD3C03"/>
    <w:rsid w:val="00BD555E"/>
    <w:rsid w:val="00BD60A2"/>
    <w:rsid w:val="00BD6ACE"/>
    <w:rsid w:val="00BD6B05"/>
    <w:rsid w:val="00BD7E24"/>
    <w:rsid w:val="00BE14DE"/>
    <w:rsid w:val="00BE1A7E"/>
    <w:rsid w:val="00BE300A"/>
    <w:rsid w:val="00BE3672"/>
    <w:rsid w:val="00BE53B3"/>
    <w:rsid w:val="00BE7336"/>
    <w:rsid w:val="00BE79C2"/>
    <w:rsid w:val="00BF1550"/>
    <w:rsid w:val="00BF1FBD"/>
    <w:rsid w:val="00BF2187"/>
    <w:rsid w:val="00BF2A0B"/>
    <w:rsid w:val="00BF38CE"/>
    <w:rsid w:val="00BF533F"/>
    <w:rsid w:val="00C02429"/>
    <w:rsid w:val="00C0379C"/>
    <w:rsid w:val="00C04146"/>
    <w:rsid w:val="00C054F3"/>
    <w:rsid w:val="00C07426"/>
    <w:rsid w:val="00C127A3"/>
    <w:rsid w:val="00C12C8A"/>
    <w:rsid w:val="00C138B8"/>
    <w:rsid w:val="00C142D4"/>
    <w:rsid w:val="00C146E3"/>
    <w:rsid w:val="00C14C0D"/>
    <w:rsid w:val="00C15C41"/>
    <w:rsid w:val="00C1709C"/>
    <w:rsid w:val="00C20243"/>
    <w:rsid w:val="00C20D4F"/>
    <w:rsid w:val="00C20DB8"/>
    <w:rsid w:val="00C21F6D"/>
    <w:rsid w:val="00C2214C"/>
    <w:rsid w:val="00C238C6"/>
    <w:rsid w:val="00C2404D"/>
    <w:rsid w:val="00C24D16"/>
    <w:rsid w:val="00C26A3D"/>
    <w:rsid w:val="00C276CE"/>
    <w:rsid w:val="00C30BE8"/>
    <w:rsid w:val="00C31AED"/>
    <w:rsid w:val="00C334F1"/>
    <w:rsid w:val="00C336D3"/>
    <w:rsid w:val="00C33E1E"/>
    <w:rsid w:val="00C34735"/>
    <w:rsid w:val="00C3602D"/>
    <w:rsid w:val="00C40192"/>
    <w:rsid w:val="00C408B2"/>
    <w:rsid w:val="00C41511"/>
    <w:rsid w:val="00C4184D"/>
    <w:rsid w:val="00C41D9A"/>
    <w:rsid w:val="00C42B22"/>
    <w:rsid w:val="00C42BD0"/>
    <w:rsid w:val="00C42DF8"/>
    <w:rsid w:val="00C43BC0"/>
    <w:rsid w:val="00C43C06"/>
    <w:rsid w:val="00C441AE"/>
    <w:rsid w:val="00C505B1"/>
    <w:rsid w:val="00C5155E"/>
    <w:rsid w:val="00C51EA6"/>
    <w:rsid w:val="00C52F77"/>
    <w:rsid w:val="00C552F0"/>
    <w:rsid w:val="00C56A4F"/>
    <w:rsid w:val="00C60919"/>
    <w:rsid w:val="00C614A7"/>
    <w:rsid w:val="00C61795"/>
    <w:rsid w:val="00C63488"/>
    <w:rsid w:val="00C634C7"/>
    <w:rsid w:val="00C63836"/>
    <w:rsid w:val="00C63BAE"/>
    <w:rsid w:val="00C6445E"/>
    <w:rsid w:val="00C67F7A"/>
    <w:rsid w:val="00C71D07"/>
    <w:rsid w:val="00C72B33"/>
    <w:rsid w:val="00C74B4B"/>
    <w:rsid w:val="00C750BB"/>
    <w:rsid w:val="00C76DF9"/>
    <w:rsid w:val="00C777F6"/>
    <w:rsid w:val="00C822C7"/>
    <w:rsid w:val="00C830B0"/>
    <w:rsid w:val="00C84E4A"/>
    <w:rsid w:val="00C858AA"/>
    <w:rsid w:val="00C85D3C"/>
    <w:rsid w:val="00C86A74"/>
    <w:rsid w:val="00C8719B"/>
    <w:rsid w:val="00C908FF"/>
    <w:rsid w:val="00C93AEC"/>
    <w:rsid w:val="00C97FE2"/>
    <w:rsid w:val="00CA125A"/>
    <w:rsid w:val="00CA1558"/>
    <w:rsid w:val="00CA164F"/>
    <w:rsid w:val="00CA1CCB"/>
    <w:rsid w:val="00CA4F09"/>
    <w:rsid w:val="00CB00C1"/>
    <w:rsid w:val="00CB16B2"/>
    <w:rsid w:val="00CB1A39"/>
    <w:rsid w:val="00CB2D5D"/>
    <w:rsid w:val="00CB4DAC"/>
    <w:rsid w:val="00CB60D1"/>
    <w:rsid w:val="00CC0CE7"/>
    <w:rsid w:val="00CC1FFC"/>
    <w:rsid w:val="00CC2C36"/>
    <w:rsid w:val="00CC2EDA"/>
    <w:rsid w:val="00CC4223"/>
    <w:rsid w:val="00CC5CF6"/>
    <w:rsid w:val="00CD3FC2"/>
    <w:rsid w:val="00CD46B9"/>
    <w:rsid w:val="00CD4AFB"/>
    <w:rsid w:val="00CD5C0B"/>
    <w:rsid w:val="00CE01BC"/>
    <w:rsid w:val="00CE21CC"/>
    <w:rsid w:val="00CE38B9"/>
    <w:rsid w:val="00CE49E5"/>
    <w:rsid w:val="00CE503E"/>
    <w:rsid w:val="00CE5F87"/>
    <w:rsid w:val="00CF0109"/>
    <w:rsid w:val="00CF0E30"/>
    <w:rsid w:val="00CF2756"/>
    <w:rsid w:val="00CF292B"/>
    <w:rsid w:val="00CF77C9"/>
    <w:rsid w:val="00D0036B"/>
    <w:rsid w:val="00D017D9"/>
    <w:rsid w:val="00D01D33"/>
    <w:rsid w:val="00D01FCB"/>
    <w:rsid w:val="00D03BB5"/>
    <w:rsid w:val="00D042C7"/>
    <w:rsid w:val="00D042E3"/>
    <w:rsid w:val="00D056DF"/>
    <w:rsid w:val="00D05F03"/>
    <w:rsid w:val="00D06637"/>
    <w:rsid w:val="00D1106C"/>
    <w:rsid w:val="00D123B7"/>
    <w:rsid w:val="00D129A4"/>
    <w:rsid w:val="00D140F5"/>
    <w:rsid w:val="00D1681D"/>
    <w:rsid w:val="00D1756A"/>
    <w:rsid w:val="00D175CC"/>
    <w:rsid w:val="00D178F6"/>
    <w:rsid w:val="00D200B8"/>
    <w:rsid w:val="00D20589"/>
    <w:rsid w:val="00D20B86"/>
    <w:rsid w:val="00D226EE"/>
    <w:rsid w:val="00D227BE"/>
    <w:rsid w:val="00D24285"/>
    <w:rsid w:val="00D26326"/>
    <w:rsid w:val="00D26554"/>
    <w:rsid w:val="00D3400C"/>
    <w:rsid w:val="00D3778C"/>
    <w:rsid w:val="00D41BF6"/>
    <w:rsid w:val="00D41DEC"/>
    <w:rsid w:val="00D44CE4"/>
    <w:rsid w:val="00D46FE5"/>
    <w:rsid w:val="00D500D7"/>
    <w:rsid w:val="00D50886"/>
    <w:rsid w:val="00D524B4"/>
    <w:rsid w:val="00D528B5"/>
    <w:rsid w:val="00D54CD9"/>
    <w:rsid w:val="00D61B08"/>
    <w:rsid w:val="00D61E56"/>
    <w:rsid w:val="00D64234"/>
    <w:rsid w:val="00D652D4"/>
    <w:rsid w:val="00D6568A"/>
    <w:rsid w:val="00D6666D"/>
    <w:rsid w:val="00D667EC"/>
    <w:rsid w:val="00D66B33"/>
    <w:rsid w:val="00D675C3"/>
    <w:rsid w:val="00D7079A"/>
    <w:rsid w:val="00D722B6"/>
    <w:rsid w:val="00D75776"/>
    <w:rsid w:val="00D75974"/>
    <w:rsid w:val="00D76164"/>
    <w:rsid w:val="00D76AD8"/>
    <w:rsid w:val="00D76E04"/>
    <w:rsid w:val="00D77805"/>
    <w:rsid w:val="00D800D5"/>
    <w:rsid w:val="00D80C63"/>
    <w:rsid w:val="00D80FA2"/>
    <w:rsid w:val="00D82E4C"/>
    <w:rsid w:val="00D84279"/>
    <w:rsid w:val="00D8441A"/>
    <w:rsid w:val="00D85EE5"/>
    <w:rsid w:val="00D8600D"/>
    <w:rsid w:val="00D86D43"/>
    <w:rsid w:val="00D879BF"/>
    <w:rsid w:val="00D903F3"/>
    <w:rsid w:val="00D91F6A"/>
    <w:rsid w:val="00D94ADD"/>
    <w:rsid w:val="00D9711C"/>
    <w:rsid w:val="00DA21F3"/>
    <w:rsid w:val="00DA3E11"/>
    <w:rsid w:val="00DA5862"/>
    <w:rsid w:val="00DB0FE9"/>
    <w:rsid w:val="00DB1CA6"/>
    <w:rsid w:val="00DB3421"/>
    <w:rsid w:val="00DB5D3D"/>
    <w:rsid w:val="00DB5E49"/>
    <w:rsid w:val="00DB790C"/>
    <w:rsid w:val="00DB7A33"/>
    <w:rsid w:val="00DC00FF"/>
    <w:rsid w:val="00DC0CAF"/>
    <w:rsid w:val="00DC47FB"/>
    <w:rsid w:val="00DC72B6"/>
    <w:rsid w:val="00DD216D"/>
    <w:rsid w:val="00DD21D1"/>
    <w:rsid w:val="00DD33C2"/>
    <w:rsid w:val="00DD3433"/>
    <w:rsid w:val="00DD346C"/>
    <w:rsid w:val="00DD63B3"/>
    <w:rsid w:val="00DD7B55"/>
    <w:rsid w:val="00DE0FB4"/>
    <w:rsid w:val="00DE146D"/>
    <w:rsid w:val="00DE2038"/>
    <w:rsid w:val="00DE46CE"/>
    <w:rsid w:val="00DE5229"/>
    <w:rsid w:val="00DE528A"/>
    <w:rsid w:val="00DE585C"/>
    <w:rsid w:val="00DE6157"/>
    <w:rsid w:val="00DE6D59"/>
    <w:rsid w:val="00DE71F3"/>
    <w:rsid w:val="00DE742C"/>
    <w:rsid w:val="00DF0910"/>
    <w:rsid w:val="00DF16D8"/>
    <w:rsid w:val="00DF1AFD"/>
    <w:rsid w:val="00DF2FD8"/>
    <w:rsid w:val="00DF3BD0"/>
    <w:rsid w:val="00DF43F3"/>
    <w:rsid w:val="00DF67D7"/>
    <w:rsid w:val="00DF7703"/>
    <w:rsid w:val="00E0224B"/>
    <w:rsid w:val="00E028B0"/>
    <w:rsid w:val="00E02F9A"/>
    <w:rsid w:val="00E0512F"/>
    <w:rsid w:val="00E053CB"/>
    <w:rsid w:val="00E05FF0"/>
    <w:rsid w:val="00E06C18"/>
    <w:rsid w:val="00E1139E"/>
    <w:rsid w:val="00E11EC7"/>
    <w:rsid w:val="00E13D52"/>
    <w:rsid w:val="00E14754"/>
    <w:rsid w:val="00E20637"/>
    <w:rsid w:val="00E2095F"/>
    <w:rsid w:val="00E221B1"/>
    <w:rsid w:val="00E23558"/>
    <w:rsid w:val="00E240A9"/>
    <w:rsid w:val="00E34A3E"/>
    <w:rsid w:val="00E3697C"/>
    <w:rsid w:val="00E40100"/>
    <w:rsid w:val="00E41B23"/>
    <w:rsid w:val="00E4280D"/>
    <w:rsid w:val="00E43239"/>
    <w:rsid w:val="00E448EA"/>
    <w:rsid w:val="00E44E26"/>
    <w:rsid w:val="00E469E5"/>
    <w:rsid w:val="00E472A5"/>
    <w:rsid w:val="00E475D9"/>
    <w:rsid w:val="00E476F0"/>
    <w:rsid w:val="00E501FC"/>
    <w:rsid w:val="00E50B8F"/>
    <w:rsid w:val="00E52D64"/>
    <w:rsid w:val="00E5360C"/>
    <w:rsid w:val="00E5380B"/>
    <w:rsid w:val="00E549D0"/>
    <w:rsid w:val="00E574AC"/>
    <w:rsid w:val="00E600C7"/>
    <w:rsid w:val="00E607CC"/>
    <w:rsid w:val="00E64221"/>
    <w:rsid w:val="00E64A15"/>
    <w:rsid w:val="00E735CB"/>
    <w:rsid w:val="00E739EB"/>
    <w:rsid w:val="00E74738"/>
    <w:rsid w:val="00E76099"/>
    <w:rsid w:val="00E77B9C"/>
    <w:rsid w:val="00E80471"/>
    <w:rsid w:val="00E81C17"/>
    <w:rsid w:val="00E82197"/>
    <w:rsid w:val="00E82726"/>
    <w:rsid w:val="00E8361C"/>
    <w:rsid w:val="00E836FA"/>
    <w:rsid w:val="00E84518"/>
    <w:rsid w:val="00E84A6E"/>
    <w:rsid w:val="00E86589"/>
    <w:rsid w:val="00E877D9"/>
    <w:rsid w:val="00E904D5"/>
    <w:rsid w:val="00E91BBD"/>
    <w:rsid w:val="00E94298"/>
    <w:rsid w:val="00E949DE"/>
    <w:rsid w:val="00E94B29"/>
    <w:rsid w:val="00E95AFA"/>
    <w:rsid w:val="00E95E24"/>
    <w:rsid w:val="00E96DE9"/>
    <w:rsid w:val="00E971BC"/>
    <w:rsid w:val="00EA0566"/>
    <w:rsid w:val="00EA0658"/>
    <w:rsid w:val="00EA2AC4"/>
    <w:rsid w:val="00EA69DC"/>
    <w:rsid w:val="00EA6CB5"/>
    <w:rsid w:val="00EB095A"/>
    <w:rsid w:val="00EB0B45"/>
    <w:rsid w:val="00EB0EC4"/>
    <w:rsid w:val="00EB1D0A"/>
    <w:rsid w:val="00EB24A7"/>
    <w:rsid w:val="00EB3737"/>
    <w:rsid w:val="00EB6275"/>
    <w:rsid w:val="00EC0F49"/>
    <w:rsid w:val="00EC0F6C"/>
    <w:rsid w:val="00EC1973"/>
    <w:rsid w:val="00EC20E6"/>
    <w:rsid w:val="00EC2E1A"/>
    <w:rsid w:val="00EC42AD"/>
    <w:rsid w:val="00EC58E3"/>
    <w:rsid w:val="00EC6FF6"/>
    <w:rsid w:val="00EC77A8"/>
    <w:rsid w:val="00ED04D7"/>
    <w:rsid w:val="00ED0EAA"/>
    <w:rsid w:val="00ED177D"/>
    <w:rsid w:val="00ED3016"/>
    <w:rsid w:val="00ED4FBE"/>
    <w:rsid w:val="00ED73A9"/>
    <w:rsid w:val="00ED7F5E"/>
    <w:rsid w:val="00EE1B54"/>
    <w:rsid w:val="00EE1C40"/>
    <w:rsid w:val="00EE35EC"/>
    <w:rsid w:val="00EE462C"/>
    <w:rsid w:val="00EE62AF"/>
    <w:rsid w:val="00EE7206"/>
    <w:rsid w:val="00EF22F1"/>
    <w:rsid w:val="00EF46D5"/>
    <w:rsid w:val="00EF4DEC"/>
    <w:rsid w:val="00EF5065"/>
    <w:rsid w:val="00EF61EF"/>
    <w:rsid w:val="00EF6500"/>
    <w:rsid w:val="00EF74C6"/>
    <w:rsid w:val="00EF7AE7"/>
    <w:rsid w:val="00F00088"/>
    <w:rsid w:val="00F00498"/>
    <w:rsid w:val="00F014BE"/>
    <w:rsid w:val="00F01C18"/>
    <w:rsid w:val="00F0259F"/>
    <w:rsid w:val="00F02D8F"/>
    <w:rsid w:val="00F038AA"/>
    <w:rsid w:val="00F06858"/>
    <w:rsid w:val="00F06D55"/>
    <w:rsid w:val="00F07619"/>
    <w:rsid w:val="00F11552"/>
    <w:rsid w:val="00F11ED7"/>
    <w:rsid w:val="00F12BEE"/>
    <w:rsid w:val="00F156C6"/>
    <w:rsid w:val="00F169D9"/>
    <w:rsid w:val="00F20FD2"/>
    <w:rsid w:val="00F221E2"/>
    <w:rsid w:val="00F2321B"/>
    <w:rsid w:val="00F23513"/>
    <w:rsid w:val="00F23DF3"/>
    <w:rsid w:val="00F2517D"/>
    <w:rsid w:val="00F25E67"/>
    <w:rsid w:val="00F26083"/>
    <w:rsid w:val="00F32F10"/>
    <w:rsid w:val="00F33F01"/>
    <w:rsid w:val="00F34EC5"/>
    <w:rsid w:val="00F40C52"/>
    <w:rsid w:val="00F42330"/>
    <w:rsid w:val="00F43B0F"/>
    <w:rsid w:val="00F44906"/>
    <w:rsid w:val="00F4608F"/>
    <w:rsid w:val="00F460DD"/>
    <w:rsid w:val="00F46687"/>
    <w:rsid w:val="00F46909"/>
    <w:rsid w:val="00F46B74"/>
    <w:rsid w:val="00F473A5"/>
    <w:rsid w:val="00F52188"/>
    <w:rsid w:val="00F563D2"/>
    <w:rsid w:val="00F566D2"/>
    <w:rsid w:val="00F57896"/>
    <w:rsid w:val="00F57902"/>
    <w:rsid w:val="00F57B58"/>
    <w:rsid w:val="00F60520"/>
    <w:rsid w:val="00F60E17"/>
    <w:rsid w:val="00F61E02"/>
    <w:rsid w:val="00F647D9"/>
    <w:rsid w:val="00F64CDE"/>
    <w:rsid w:val="00F655A8"/>
    <w:rsid w:val="00F65D95"/>
    <w:rsid w:val="00F672D2"/>
    <w:rsid w:val="00F67627"/>
    <w:rsid w:val="00F70F99"/>
    <w:rsid w:val="00F716C9"/>
    <w:rsid w:val="00F737F1"/>
    <w:rsid w:val="00F73DB8"/>
    <w:rsid w:val="00F74284"/>
    <w:rsid w:val="00F748D9"/>
    <w:rsid w:val="00F75A04"/>
    <w:rsid w:val="00F83694"/>
    <w:rsid w:val="00F83AF4"/>
    <w:rsid w:val="00F83FC5"/>
    <w:rsid w:val="00F84A8F"/>
    <w:rsid w:val="00F921B5"/>
    <w:rsid w:val="00F939E9"/>
    <w:rsid w:val="00FA124C"/>
    <w:rsid w:val="00FA30C8"/>
    <w:rsid w:val="00FA427A"/>
    <w:rsid w:val="00FA61CA"/>
    <w:rsid w:val="00FA68B7"/>
    <w:rsid w:val="00FA6F6A"/>
    <w:rsid w:val="00FA7E44"/>
    <w:rsid w:val="00FB007E"/>
    <w:rsid w:val="00FB09DE"/>
    <w:rsid w:val="00FB1444"/>
    <w:rsid w:val="00FB2694"/>
    <w:rsid w:val="00FB3AD3"/>
    <w:rsid w:val="00FB60C2"/>
    <w:rsid w:val="00FB6CAF"/>
    <w:rsid w:val="00FC1FCC"/>
    <w:rsid w:val="00FC3BF7"/>
    <w:rsid w:val="00FC4925"/>
    <w:rsid w:val="00FC4ECE"/>
    <w:rsid w:val="00FC50E8"/>
    <w:rsid w:val="00FC6285"/>
    <w:rsid w:val="00FC7423"/>
    <w:rsid w:val="00FD095C"/>
    <w:rsid w:val="00FD26D1"/>
    <w:rsid w:val="00FD5CE3"/>
    <w:rsid w:val="00FD762B"/>
    <w:rsid w:val="00FE159B"/>
    <w:rsid w:val="00FE282B"/>
    <w:rsid w:val="00FE2C48"/>
    <w:rsid w:val="00FE56FE"/>
    <w:rsid w:val="00FE640D"/>
    <w:rsid w:val="00FE7654"/>
    <w:rsid w:val="00FE7CF5"/>
    <w:rsid w:val="00FF0ECE"/>
    <w:rsid w:val="00FF3434"/>
    <w:rsid w:val="00FF3484"/>
    <w:rsid w:val="00FF396B"/>
    <w:rsid w:val="00FF3B22"/>
    <w:rsid w:val="00FF47C1"/>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9981522"/>
  <w15:docId w15:val="{8440BD64-102A-4909-9ED6-3F3071C4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46"/>
    <w:rPr>
      <w:sz w:val="24"/>
      <w:szCs w:val="24"/>
    </w:rPr>
  </w:style>
  <w:style w:type="paragraph" w:styleId="Heading1">
    <w:name w:val="heading 1"/>
    <w:basedOn w:val="Normal"/>
    <w:next w:val="Normal"/>
    <w:link w:val="Heading1Char"/>
    <w:qFormat/>
    <w:rsid w:val="00D140F5"/>
    <w:pPr>
      <w:widowControl w:val="0"/>
      <w:pBdr>
        <w:bottom w:val="single" w:sz="4" w:space="1" w:color="auto"/>
      </w:pBdr>
      <w:ind w:hanging="720"/>
      <w:outlineLvl w:val="0"/>
    </w:pPr>
    <w:rPr>
      <w:rFonts w:ascii="Arial" w:hAnsi="Arial"/>
      <w:b/>
      <w:sz w:val="39"/>
    </w:rPr>
  </w:style>
  <w:style w:type="paragraph" w:styleId="Heading2">
    <w:name w:val="heading 2"/>
    <w:basedOn w:val="Normal"/>
    <w:next w:val="Normal"/>
    <w:link w:val="Heading2Char"/>
    <w:uiPriority w:val="9"/>
    <w:qFormat/>
    <w:rsid w:val="00D903F3"/>
    <w:pPr>
      <w:keepNext/>
      <w:ind w:hanging="720"/>
      <w:outlineLvl w:val="1"/>
    </w:pPr>
    <w:rPr>
      <w:rFonts w:ascii="Arial bold" w:hAnsi="Arial bold"/>
      <w:b/>
      <w:sz w:val="31"/>
    </w:rPr>
  </w:style>
  <w:style w:type="paragraph" w:styleId="Heading3">
    <w:name w:val="heading 3"/>
    <w:basedOn w:val="Normal"/>
    <w:next w:val="Normal"/>
    <w:link w:val="Heading3Char"/>
    <w:qFormat/>
    <w:rsid w:val="002D65AA"/>
    <w:pPr>
      <w:keepNext/>
      <w:ind w:hanging="720"/>
      <w:outlineLvl w:val="2"/>
    </w:pPr>
    <w:rPr>
      <w:rFonts w:ascii="Arial" w:hAnsi="Arial"/>
      <w:sz w:val="31"/>
    </w:rPr>
  </w:style>
  <w:style w:type="paragraph" w:styleId="Heading4">
    <w:name w:val="heading 4"/>
    <w:basedOn w:val="Normal"/>
    <w:next w:val="Normal"/>
    <w:link w:val="Heading4Char"/>
    <w:unhideWhenUsed/>
    <w:qFormat/>
    <w:rsid w:val="000176D2"/>
    <w:pPr>
      <w:keepNext/>
      <w:outlineLvl w:val="3"/>
    </w:pPr>
    <w:rPr>
      <w:rFonts w:ascii="Arial bold" w:hAnsi="Arial bold"/>
      <w:b/>
      <w:bCs/>
      <w:sz w:val="26"/>
      <w:szCs w:val="28"/>
    </w:rPr>
  </w:style>
  <w:style w:type="paragraph" w:styleId="Heading5">
    <w:name w:val="heading 5"/>
    <w:basedOn w:val="Normal"/>
    <w:next w:val="Normal"/>
    <w:link w:val="Heading5Char"/>
    <w:unhideWhenUsed/>
    <w:qFormat/>
    <w:rsid w:val="000B6027"/>
    <w:pPr>
      <w:ind w:hanging="720"/>
      <w:jc w:val="center"/>
      <w:outlineLvl w:val="4"/>
    </w:pPr>
    <w:rPr>
      <w:rFonts w:ascii="Arial" w:hAnsi="Arial"/>
      <w:b/>
      <w:sz w:val="31"/>
    </w:rPr>
  </w:style>
  <w:style w:type="paragraph" w:styleId="Heading6">
    <w:name w:val="heading 6"/>
    <w:basedOn w:val="Normal"/>
    <w:next w:val="Normal"/>
    <w:link w:val="Heading6Char"/>
    <w:rsid w:val="00687188"/>
    <w:pPr>
      <w:keepNext/>
      <w:widowControl w:val="0"/>
      <w:autoSpaceDE w:val="0"/>
      <w:autoSpaceDN w:val="0"/>
      <w:adjustRightInd w:val="0"/>
      <w:jc w:val="center"/>
      <w:outlineLvl w:val="5"/>
    </w:pPr>
    <w:rPr>
      <w:rFonts w:ascii="CG Omega" w:hAnsi="CG Omega"/>
      <w:b/>
      <w:sz w:val="28"/>
    </w:rPr>
  </w:style>
  <w:style w:type="paragraph" w:styleId="Heading7">
    <w:name w:val="heading 7"/>
    <w:basedOn w:val="Normal"/>
    <w:next w:val="Normal"/>
    <w:link w:val="Heading7Char"/>
    <w:rsid w:val="00687188"/>
    <w:pPr>
      <w:keepNext/>
      <w:widowControl w:val="0"/>
      <w:autoSpaceDE w:val="0"/>
      <w:autoSpaceDN w:val="0"/>
      <w:adjustRightInd w:val="0"/>
      <w:jc w:val="center"/>
      <w:outlineLvl w:val="6"/>
    </w:pPr>
    <w:rPr>
      <w:rFonts w:ascii="CG Omega" w:hAnsi="CG Omega"/>
      <w:b/>
      <w:sz w:val="26"/>
    </w:rPr>
  </w:style>
  <w:style w:type="paragraph" w:styleId="Heading8">
    <w:name w:val="heading 8"/>
    <w:basedOn w:val="Normal"/>
    <w:next w:val="Normal"/>
    <w:link w:val="Heading8Char"/>
    <w:rsid w:val="00687188"/>
    <w:pPr>
      <w:keepNext/>
      <w:widowControl w:val="0"/>
      <w:autoSpaceDE w:val="0"/>
      <w:autoSpaceDN w:val="0"/>
      <w:adjustRightInd w:val="0"/>
      <w:ind w:left="-1550"/>
      <w:jc w:val="center"/>
      <w:outlineLvl w:val="7"/>
    </w:pPr>
    <w:rPr>
      <w:rFonts w:ascii="Arial" w:hAnsi="Arial"/>
      <w:b/>
      <w:sz w:val="20"/>
    </w:rPr>
  </w:style>
  <w:style w:type="paragraph" w:styleId="Heading9">
    <w:name w:val="heading 9"/>
    <w:basedOn w:val="Normal"/>
    <w:next w:val="Normal"/>
    <w:link w:val="Heading9Char"/>
    <w:rsid w:val="00687188"/>
    <w:pPr>
      <w:keepNext/>
      <w:widowControl w:val="0"/>
      <w:autoSpaceDE w:val="0"/>
      <w:autoSpaceDN w:val="0"/>
      <w:adjustRightInd w:val="0"/>
      <w:outlineLvl w:val="8"/>
    </w:pPr>
    <w:rPr>
      <w:rFonts w:ascii="CG Omega" w:hAnsi="CG Omeg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12DA6"/>
    <w:rPr>
      <w:rFonts w:ascii="Arial" w:hAnsi="Arial"/>
      <w:b/>
      <w:sz w:val="31"/>
      <w:szCs w:val="24"/>
    </w:rPr>
  </w:style>
  <w:style w:type="paragraph" w:styleId="TOC1">
    <w:name w:val="toc 1"/>
    <w:basedOn w:val="Normal"/>
    <w:next w:val="Normal"/>
    <w:autoRedefine/>
    <w:uiPriority w:val="39"/>
    <w:rsid w:val="009E51D2"/>
    <w:pPr>
      <w:tabs>
        <w:tab w:val="left" w:pos="0"/>
        <w:tab w:val="right" w:leader="dot" w:pos="9000"/>
      </w:tabs>
      <w:ind w:left="360" w:hanging="360"/>
    </w:pPr>
    <w:rPr>
      <w:b/>
      <w:noProof/>
    </w:rPr>
  </w:style>
  <w:style w:type="paragraph" w:styleId="TOC2">
    <w:name w:val="toc 2"/>
    <w:basedOn w:val="Normal"/>
    <w:next w:val="Normal"/>
    <w:autoRedefine/>
    <w:uiPriority w:val="39"/>
    <w:rsid w:val="001B3890"/>
    <w:pPr>
      <w:tabs>
        <w:tab w:val="right" w:leader="dot" w:pos="8990"/>
      </w:tabs>
      <w:ind w:left="1440" w:hanging="720"/>
    </w:pPr>
  </w:style>
  <w:style w:type="paragraph" w:styleId="TOC3">
    <w:name w:val="toc 3"/>
    <w:basedOn w:val="Normal"/>
    <w:next w:val="Normal"/>
    <w:autoRedefine/>
    <w:uiPriority w:val="39"/>
    <w:rsid w:val="001B3890"/>
    <w:pPr>
      <w:tabs>
        <w:tab w:val="right" w:leader="dot" w:pos="8990"/>
      </w:tabs>
      <w:ind w:left="1440" w:hanging="360"/>
    </w:pPr>
  </w:style>
  <w:style w:type="paragraph" w:styleId="TOC4">
    <w:name w:val="toc 4"/>
    <w:basedOn w:val="Normal"/>
    <w:next w:val="Normal"/>
    <w:autoRedefine/>
    <w:uiPriority w:val="39"/>
    <w:rsid w:val="00E028B0"/>
    <w:pPr>
      <w:ind w:left="780"/>
    </w:pPr>
  </w:style>
  <w:style w:type="paragraph" w:styleId="TOC5">
    <w:name w:val="toc 5"/>
    <w:basedOn w:val="Normal"/>
    <w:next w:val="Normal"/>
    <w:autoRedefine/>
    <w:semiHidden/>
    <w:rsid w:val="00E028B0"/>
    <w:pPr>
      <w:ind w:left="1040"/>
    </w:pPr>
  </w:style>
  <w:style w:type="paragraph" w:styleId="TOC6">
    <w:name w:val="toc 6"/>
    <w:basedOn w:val="Normal"/>
    <w:next w:val="Normal"/>
    <w:autoRedefine/>
    <w:semiHidden/>
    <w:rsid w:val="00E028B0"/>
    <w:pPr>
      <w:ind w:left="1300"/>
    </w:pPr>
  </w:style>
  <w:style w:type="paragraph" w:styleId="TOC7">
    <w:name w:val="toc 7"/>
    <w:basedOn w:val="Normal"/>
    <w:next w:val="Normal"/>
    <w:autoRedefine/>
    <w:semiHidden/>
    <w:rsid w:val="00E028B0"/>
    <w:pPr>
      <w:ind w:left="1560"/>
    </w:pPr>
  </w:style>
  <w:style w:type="paragraph" w:styleId="TOC8">
    <w:name w:val="toc 8"/>
    <w:basedOn w:val="Normal"/>
    <w:next w:val="Normal"/>
    <w:autoRedefine/>
    <w:semiHidden/>
    <w:rsid w:val="00E028B0"/>
    <w:pPr>
      <w:ind w:left="1820"/>
    </w:pPr>
  </w:style>
  <w:style w:type="paragraph" w:styleId="TOC9">
    <w:name w:val="toc 9"/>
    <w:basedOn w:val="Normal"/>
    <w:next w:val="Normal"/>
    <w:autoRedefine/>
    <w:semiHidden/>
    <w:rsid w:val="00E028B0"/>
    <w:pPr>
      <w:ind w:left="2080"/>
    </w:pPr>
  </w:style>
  <w:style w:type="character" w:styleId="FootnoteReference">
    <w:name w:val="footnote reference"/>
    <w:rsid w:val="00E028B0"/>
    <w:rPr>
      <w:rFonts w:ascii="CG Omega" w:hAnsi="CG Omega"/>
      <w:sz w:val="16"/>
      <w:vertAlign w:val="superscript"/>
    </w:rPr>
  </w:style>
  <w:style w:type="paragraph" w:styleId="Footer">
    <w:name w:val="footer"/>
    <w:basedOn w:val="Normal"/>
    <w:link w:val="FooterChar"/>
    <w:uiPriority w:val="99"/>
    <w:rsid w:val="00E028B0"/>
    <w:pPr>
      <w:tabs>
        <w:tab w:val="center" w:pos="4320"/>
        <w:tab w:val="right" w:pos="8640"/>
      </w:tabs>
    </w:pPr>
  </w:style>
  <w:style w:type="paragraph" w:styleId="DocumentMap">
    <w:name w:val="Document Map"/>
    <w:basedOn w:val="Normal"/>
    <w:link w:val="DocumentMapChar"/>
    <w:semiHidden/>
    <w:rsid w:val="00E028B0"/>
    <w:pPr>
      <w:shd w:val="clear" w:color="auto" w:fill="000080"/>
    </w:pPr>
    <w:rPr>
      <w:rFonts w:ascii="Tahoma" w:hAnsi="Tahoma"/>
    </w:rPr>
  </w:style>
  <w:style w:type="character" w:styleId="PageNumber">
    <w:name w:val="page number"/>
    <w:basedOn w:val="DefaultParagraphFont"/>
    <w:rsid w:val="00E028B0"/>
  </w:style>
  <w:style w:type="paragraph" w:styleId="BalloonText">
    <w:name w:val="Balloon Text"/>
    <w:basedOn w:val="Normal"/>
    <w:link w:val="BalloonTextChar"/>
    <w:semiHidden/>
    <w:unhideWhenUsed/>
    <w:rsid w:val="009C4233"/>
    <w:rPr>
      <w:rFonts w:ascii="Tahoma" w:hAnsi="Tahoma" w:cs="Tahoma"/>
      <w:sz w:val="16"/>
      <w:szCs w:val="16"/>
    </w:rPr>
  </w:style>
  <w:style w:type="character" w:customStyle="1" w:styleId="BalloonTextChar">
    <w:name w:val="Balloon Text Char"/>
    <w:link w:val="BalloonText"/>
    <w:semiHidden/>
    <w:rsid w:val="009C4233"/>
    <w:rPr>
      <w:rFonts w:ascii="Tahoma" w:hAnsi="Tahoma" w:cs="Tahoma"/>
      <w:snapToGrid w:val="0"/>
      <w:sz w:val="16"/>
      <w:szCs w:val="16"/>
    </w:rPr>
  </w:style>
  <w:style w:type="paragraph" w:styleId="TOCHeading">
    <w:name w:val="TOC Heading"/>
    <w:basedOn w:val="Heading1"/>
    <w:next w:val="Normal"/>
    <w:uiPriority w:val="39"/>
    <w:semiHidden/>
    <w:unhideWhenUsed/>
    <w:qFormat/>
    <w:rsid w:val="0001469E"/>
    <w:pPr>
      <w:keepLines/>
      <w:spacing w:before="480" w:line="276" w:lineRule="auto"/>
      <w:ind w:firstLine="0"/>
      <w:outlineLvl w:val="9"/>
    </w:pPr>
    <w:rPr>
      <w:rFonts w:ascii="Cambria" w:hAnsi="Cambria"/>
      <w:bCs/>
      <w:color w:val="365F91"/>
      <w:sz w:val="28"/>
      <w:szCs w:val="28"/>
    </w:rPr>
  </w:style>
  <w:style w:type="table" w:styleId="TableGrid">
    <w:name w:val="Table Grid"/>
    <w:basedOn w:val="TableNormal"/>
    <w:rsid w:val="000123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D1106C"/>
    <w:rPr>
      <w:sz w:val="24"/>
      <w:szCs w:val="24"/>
    </w:rPr>
  </w:style>
  <w:style w:type="character" w:customStyle="1" w:styleId="Heading4Char">
    <w:name w:val="Heading 4 Char"/>
    <w:link w:val="Heading4"/>
    <w:rsid w:val="000176D2"/>
    <w:rPr>
      <w:rFonts w:ascii="Arial bold" w:hAnsi="Arial bold"/>
      <w:b/>
      <w:bCs/>
      <w:sz w:val="26"/>
      <w:szCs w:val="28"/>
    </w:rPr>
  </w:style>
  <w:style w:type="numbering" w:customStyle="1" w:styleId="Bulletseries1">
    <w:name w:val="Bullet series 1"/>
    <w:basedOn w:val="NoList"/>
    <w:rsid w:val="00D9711C"/>
    <w:pPr>
      <w:numPr>
        <w:numId w:val="1"/>
      </w:numPr>
    </w:pPr>
  </w:style>
  <w:style w:type="numbering" w:customStyle="1" w:styleId="StyleBulletseries1OutlinenumberedLeft0">
    <w:name w:val="Style Bullet series 1 + Outline numbered Left:  0&quot;"/>
    <w:basedOn w:val="NoList"/>
    <w:rsid w:val="00D9711C"/>
    <w:pPr>
      <w:numPr>
        <w:numId w:val="2"/>
      </w:numPr>
    </w:pPr>
  </w:style>
  <w:style w:type="numbering" w:customStyle="1" w:styleId="StyleBulletseries1">
    <w:name w:val="Style Bullet series 1"/>
    <w:basedOn w:val="NoList"/>
    <w:rsid w:val="00D9711C"/>
    <w:pPr>
      <w:numPr>
        <w:numId w:val="3"/>
      </w:numPr>
    </w:pPr>
  </w:style>
  <w:style w:type="numbering" w:customStyle="1" w:styleId="StyleBulletseries1OutlinenumberedLeft01">
    <w:name w:val="Style Bullet series 1 + Outline numbered Left:  0&quot;1"/>
    <w:basedOn w:val="NoList"/>
    <w:rsid w:val="00D9711C"/>
    <w:pPr>
      <w:numPr>
        <w:numId w:val="4"/>
      </w:numPr>
    </w:pPr>
  </w:style>
  <w:style w:type="character" w:styleId="CommentReference">
    <w:name w:val="annotation reference"/>
    <w:uiPriority w:val="99"/>
    <w:unhideWhenUsed/>
    <w:rsid w:val="00DF2FD8"/>
    <w:rPr>
      <w:sz w:val="16"/>
      <w:szCs w:val="16"/>
    </w:rPr>
  </w:style>
  <w:style w:type="paragraph" w:styleId="CommentText">
    <w:name w:val="annotation text"/>
    <w:basedOn w:val="Normal"/>
    <w:link w:val="CommentTextChar"/>
    <w:uiPriority w:val="99"/>
    <w:unhideWhenUsed/>
    <w:rsid w:val="00DF2FD8"/>
    <w:rPr>
      <w:sz w:val="20"/>
      <w:szCs w:val="20"/>
    </w:rPr>
  </w:style>
  <w:style w:type="character" w:customStyle="1" w:styleId="CommentTextChar">
    <w:name w:val="Comment Text Char"/>
    <w:link w:val="CommentText"/>
    <w:uiPriority w:val="99"/>
    <w:rsid w:val="00DF2FD8"/>
    <w:rPr>
      <w:rFonts w:eastAsia="Calibri"/>
    </w:rPr>
  </w:style>
  <w:style w:type="paragraph" w:styleId="CommentSubject">
    <w:name w:val="annotation subject"/>
    <w:basedOn w:val="CommentText"/>
    <w:next w:val="CommentText"/>
    <w:link w:val="CommentSubjectChar"/>
    <w:semiHidden/>
    <w:unhideWhenUsed/>
    <w:rsid w:val="00DF2FD8"/>
    <w:rPr>
      <w:b/>
      <w:bCs/>
    </w:rPr>
  </w:style>
  <w:style w:type="character" w:customStyle="1" w:styleId="CommentSubjectChar">
    <w:name w:val="Comment Subject Char"/>
    <w:link w:val="CommentSubject"/>
    <w:semiHidden/>
    <w:rsid w:val="00DF2FD8"/>
    <w:rPr>
      <w:rFonts w:eastAsia="Calibri"/>
      <w:b/>
      <w:bCs/>
    </w:rPr>
  </w:style>
  <w:style w:type="paragraph" w:styleId="Revision">
    <w:name w:val="Revision"/>
    <w:hidden/>
    <w:uiPriority w:val="99"/>
    <w:semiHidden/>
    <w:rsid w:val="00773EF9"/>
    <w:rPr>
      <w:sz w:val="24"/>
      <w:szCs w:val="24"/>
    </w:rPr>
  </w:style>
  <w:style w:type="character" w:customStyle="1" w:styleId="Heading2Char">
    <w:name w:val="Heading 2 Char"/>
    <w:basedOn w:val="DefaultParagraphFont"/>
    <w:link w:val="Heading2"/>
    <w:uiPriority w:val="9"/>
    <w:rsid w:val="00E64221"/>
    <w:rPr>
      <w:rFonts w:ascii="Arial bold" w:hAnsi="Arial bold"/>
      <w:b/>
      <w:sz w:val="31"/>
      <w:szCs w:val="24"/>
    </w:rPr>
  </w:style>
  <w:style w:type="paragraph" w:customStyle="1" w:styleId="ChecklistText">
    <w:name w:val="Checklist_Text"/>
    <w:basedOn w:val="Normal"/>
    <w:rsid w:val="004904AC"/>
    <w:pPr>
      <w:spacing w:before="60" w:after="120"/>
    </w:pPr>
    <w:rPr>
      <w:rFonts w:eastAsiaTheme="minorHAnsi"/>
    </w:rPr>
  </w:style>
  <w:style w:type="paragraph" w:customStyle="1" w:styleId="ChecklistBullet1">
    <w:name w:val="Checklist_Bullet1"/>
    <w:basedOn w:val="Normal"/>
    <w:rsid w:val="004904AC"/>
    <w:pPr>
      <w:numPr>
        <w:numId w:val="43"/>
      </w:numPr>
      <w:tabs>
        <w:tab w:val="right" w:leader="dot" w:pos="3600"/>
      </w:tabs>
      <w:spacing w:before="60" w:after="60"/>
      <w:ind w:left="360"/>
    </w:pPr>
    <w:rPr>
      <w:rFonts w:eastAsiaTheme="minorHAnsi"/>
      <w:szCs w:val="22"/>
    </w:rPr>
  </w:style>
  <w:style w:type="character" w:customStyle="1" w:styleId="Heading6Char">
    <w:name w:val="Heading 6 Char"/>
    <w:basedOn w:val="DefaultParagraphFont"/>
    <w:link w:val="Heading6"/>
    <w:rsid w:val="00687188"/>
    <w:rPr>
      <w:rFonts w:ascii="CG Omega" w:hAnsi="CG Omega"/>
      <w:b/>
      <w:sz w:val="28"/>
      <w:szCs w:val="24"/>
    </w:rPr>
  </w:style>
  <w:style w:type="character" w:customStyle="1" w:styleId="Heading7Char">
    <w:name w:val="Heading 7 Char"/>
    <w:basedOn w:val="DefaultParagraphFont"/>
    <w:link w:val="Heading7"/>
    <w:rsid w:val="00687188"/>
    <w:rPr>
      <w:rFonts w:ascii="CG Omega" w:hAnsi="CG Omega"/>
      <w:b/>
      <w:sz w:val="26"/>
      <w:szCs w:val="24"/>
    </w:rPr>
  </w:style>
  <w:style w:type="character" w:customStyle="1" w:styleId="Heading8Char">
    <w:name w:val="Heading 8 Char"/>
    <w:basedOn w:val="DefaultParagraphFont"/>
    <w:link w:val="Heading8"/>
    <w:rsid w:val="00687188"/>
    <w:rPr>
      <w:rFonts w:ascii="Arial" w:hAnsi="Arial"/>
      <w:b/>
      <w:szCs w:val="24"/>
    </w:rPr>
  </w:style>
  <w:style w:type="character" w:customStyle="1" w:styleId="Heading9Char">
    <w:name w:val="Heading 9 Char"/>
    <w:basedOn w:val="DefaultParagraphFont"/>
    <w:link w:val="Heading9"/>
    <w:rsid w:val="00687188"/>
    <w:rPr>
      <w:rFonts w:ascii="CG Omega" w:hAnsi="CG Omega"/>
      <w:b/>
      <w:sz w:val="26"/>
      <w:szCs w:val="24"/>
    </w:rPr>
  </w:style>
  <w:style w:type="character" w:customStyle="1" w:styleId="Heading1Char">
    <w:name w:val="Heading 1 Char"/>
    <w:link w:val="Heading1"/>
    <w:locked/>
    <w:rsid w:val="00687188"/>
    <w:rPr>
      <w:rFonts w:ascii="Arial" w:hAnsi="Arial"/>
      <w:b/>
      <w:sz w:val="39"/>
      <w:szCs w:val="24"/>
    </w:rPr>
  </w:style>
  <w:style w:type="character" w:customStyle="1" w:styleId="Heading3Char">
    <w:name w:val="Heading 3 Char"/>
    <w:link w:val="Heading3"/>
    <w:locked/>
    <w:rsid w:val="00687188"/>
    <w:rPr>
      <w:rFonts w:ascii="Arial" w:hAnsi="Arial"/>
      <w:sz w:val="31"/>
      <w:szCs w:val="24"/>
    </w:rPr>
  </w:style>
  <w:style w:type="paragraph" w:customStyle="1" w:styleId="a">
    <w:name w:val="_"/>
    <w:basedOn w:val="Normal"/>
    <w:rsid w:val="00687188"/>
    <w:pPr>
      <w:widowControl w:val="0"/>
      <w:autoSpaceDE w:val="0"/>
      <w:autoSpaceDN w:val="0"/>
      <w:adjustRightInd w:val="0"/>
      <w:ind w:left="720" w:hanging="358"/>
    </w:pPr>
    <w:rPr>
      <w:rFonts w:ascii="CG Omega" w:hAnsi="CG Omega"/>
      <w:sz w:val="26"/>
    </w:rPr>
  </w:style>
  <w:style w:type="paragraph" w:styleId="BodyText">
    <w:name w:val="Body Text"/>
    <w:basedOn w:val="Normal"/>
    <w:link w:val="BodyTextChar"/>
    <w:rsid w:val="00687188"/>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autoSpaceDE w:val="0"/>
      <w:autoSpaceDN w:val="0"/>
      <w:adjustRightInd w:val="0"/>
      <w:spacing w:line="203" w:lineRule="auto"/>
    </w:pPr>
    <w:rPr>
      <w:rFonts w:ascii="CG Omega" w:hAnsi="CG Omega"/>
      <w:sz w:val="26"/>
      <w:szCs w:val="26"/>
    </w:rPr>
  </w:style>
  <w:style w:type="character" w:customStyle="1" w:styleId="BodyTextChar">
    <w:name w:val="Body Text Char"/>
    <w:basedOn w:val="DefaultParagraphFont"/>
    <w:link w:val="BodyText"/>
    <w:rsid w:val="00687188"/>
    <w:rPr>
      <w:rFonts w:ascii="CG Omega" w:hAnsi="CG Omega"/>
      <w:sz w:val="26"/>
      <w:szCs w:val="26"/>
    </w:rPr>
  </w:style>
  <w:style w:type="paragraph" w:styleId="BodyTextIndent">
    <w:name w:val="Body Text Indent"/>
    <w:basedOn w:val="Normal"/>
    <w:link w:val="BodyTextIndentChar"/>
    <w:rsid w:val="00687188"/>
    <w:pPr>
      <w:tabs>
        <w:tab w:val="left" w:pos="-720"/>
        <w:tab w:val="left" w:pos="0"/>
        <w:tab w:val="left" w:pos="452"/>
      </w:tabs>
      <w:autoSpaceDE w:val="0"/>
      <w:autoSpaceDN w:val="0"/>
      <w:adjustRightInd w:val="0"/>
      <w:spacing w:line="202" w:lineRule="auto"/>
      <w:ind w:left="32" w:firstLine="420"/>
    </w:pPr>
    <w:rPr>
      <w:rFonts w:ascii="Century Gothic" w:hAnsi="Century Gothic"/>
      <w:sz w:val="22"/>
      <w:szCs w:val="22"/>
    </w:rPr>
  </w:style>
  <w:style w:type="character" w:customStyle="1" w:styleId="BodyTextIndentChar">
    <w:name w:val="Body Text Indent Char"/>
    <w:basedOn w:val="DefaultParagraphFont"/>
    <w:link w:val="BodyTextIndent"/>
    <w:rsid w:val="00687188"/>
    <w:rPr>
      <w:rFonts w:ascii="Century Gothic" w:hAnsi="Century Gothic"/>
      <w:sz w:val="22"/>
      <w:szCs w:val="22"/>
    </w:rPr>
  </w:style>
  <w:style w:type="paragraph" w:styleId="BodyTextIndent2">
    <w:name w:val="Body Text Indent 2"/>
    <w:basedOn w:val="Normal"/>
    <w:link w:val="BodyTextIndent2Char"/>
    <w:rsid w:val="00687188"/>
    <w:pPr>
      <w:tabs>
        <w:tab w:val="left" w:pos="-360"/>
        <w:tab w:val="left" w:pos="546"/>
        <w:tab w:val="left" w:pos="999"/>
        <w:tab w:val="left" w:pos="1570"/>
        <w:tab w:val="left" w:pos="2184"/>
        <w:tab w:val="left" w:pos="2511"/>
        <w:tab w:val="left" w:pos="3166"/>
        <w:tab w:val="left" w:pos="3822"/>
        <w:tab w:val="left" w:pos="5760"/>
        <w:tab w:val="left" w:pos="7920"/>
      </w:tabs>
      <w:autoSpaceDE w:val="0"/>
      <w:autoSpaceDN w:val="0"/>
      <w:adjustRightInd w:val="0"/>
      <w:spacing w:line="202" w:lineRule="auto"/>
      <w:ind w:left="5760" w:hanging="5760"/>
    </w:pPr>
    <w:rPr>
      <w:rFonts w:ascii="Century Gothic" w:hAnsi="Century Gothic"/>
      <w:sz w:val="18"/>
      <w:szCs w:val="18"/>
    </w:rPr>
  </w:style>
  <w:style w:type="character" w:customStyle="1" w:styleId="BodyTextIndent2Char">
    <w:name w:val="Body Text Indent 2 Char"/>
    <w:basedOn w:val="DefaultParagraphFont"/>
    <w:link w:val="BodyTextIndent2"/>
    <w:rsid w:val="00687188"/>
    <w:rPr>
      <w:rFonts w:ascii="Century Gothic" w:hAnsi="Century Gothic"/>
      <w:sz w:val="18"/>
      <w:szCs w:val="18"/>
    </w:rPr>
  </w:style>
  <w:style w:type="paragraph" w:styleId="BodyText2">
    <w:name w:val="Body Text 2"/>
    <w:basedOn w:val="Normal"/>
    <w:link w:val="BodyText2Char"/>
    <w:rsid w:val="00687188"/>
    <w:pPr>
      <w:tabs>
        <w:tab w:val="left" w:pos="-360"/>
        <w:tab w:val="decimal" w:pos="0"/>
        <w:tab w:val="left" w:pos="7920"/>
      </w:tabs>
      <w:autoSpaceDE w:val="0"/>
      <w:autoSpaceDN w:val="0"/>
      <w:adjustRightInd w:val="0"/>
      <w:spacing w:line="202" w:lineRule="auto"/>
    </w:pPr>
    <w:rPr>
      <w:rFonts w:ascii="CG Omega" w:hAnsi="CG Omega"/>
      <w:sz w:val="20"/>
      <w:szCs w:val="18"/>
    </w:rPr>
  </w:style>
  <w:style w:type="character" w:customStyle="1" w:styleId="BodyText2Char">
    <w:name w:val="Body Text 2 Char"/>
    <w:basedOn w:val="DefaultParagraphFont"/>
    <w:link w:val="BodyText2"/>
    <w:rsid w:val="00687188"/>
    <w:rPr>
      <w:rFonts w:ascii="CG Omega" w:hAnsi="CG Omega"/>
      <w:szCs w:val="18"/>
    </w:rPr>
  </w:style>
  <w:style w:type="paragraph" w:styleId="BodyTextIndent3">
    <w:name w:val="Body Text Indent 3"/>
    <w:basedOn w:val="Normal"/>
    <w:link w:val="BodyTextIndent3Char"/>
    <w:rsid w:val="00687188"/>
    <w:pPr>
      <w:tabs>
        <w:tab w:val="left" w:pos="-360"/>
        <w:tab w:val="left" w:pos="546"/>
        <w:tab w:val="left" w:pos="999"/>
        <w:tab w:val="left" w:pos="5760"/>
        <w:tab w:val="left" w:pos="6210"/>
        <w:tab w:val="left" w:pos="7920"/>
      </w:tabs>
      <w:autoSpaceDE w:val="0"/>
      <w:autoSpaceDN w:val="0"/>
      <w:adjustRightInd w:val="0"/>
      <w:spacing w:line="202" w:lineRule="auto"/>
      <w:ind w:left="5760"/>
    </w:pPr>
    <w:rPr>
      <w:rFonts w:ascii="CG Omega" w:hAnsi="CG Omega"/>
      <w:sz w:val="20"/>
      <w:szCs w:val="18"/>
    </w:rPr>
  </w:style>
  <w:style w:type="character" w:customStyle="1" w:styleId="BodyTextIndent3Char">
    <w:name w:val="Body Text Indent 3 Char"/>
    <w:basedOn w:val="DefaultParagraphFont"/>
    <w:link w:val="BodyTextIndent3"/>
    <w:rsid w:val="00687188"/>
    <w:rPr>
      <w:rFonts w:ascii="CG Omega" w:hAnsi="CG Omega"/>
      <w:szCs w:val="18"/>
    </w:rPr>
  </w:style>
  <w:style w:type="paragraph" w:styleId="BodyText3">
    <w:name w:val="Body Text 3"/>
    <w:basedOn w:val="Normal"/>
    <w:link w:val="BodyText3Char"/>
    <w:rsid w:val="00687188"/>
    <w:pPr>
      <w:tabs>
        <w:tab w:val="left" w:pos="-360"/>
        <w:tab w:val="left" w:pos="546"/>
        <w:tab w:val="left" w:pos="5760"/>
      </w:tabs>
      <w:autoSpaceDE w:val="0"/>
      <w:autoSpaceDN w:val="0"/>
      <w:adjustRightInd w:val="0"/>
      <w:spacing w:line="202" w:lineRule="auto"/>
      <w:ind w:right="-180"/>
    </w:pPr>
    <w:rPr>
      <w:rFonts w:ascii="CG Omega" w:hAnsi="CG Omega"/>
      <w:sz w:val="20"/>
      <w:szCs w:val="18"/>
    </w:rPr>
  </w:style>
  <w:style w:type="character" w:customStyle="1" w:styleId="BodyText3Char">
    <w:name w:val="Body Text 3 Char"/>
    <w:basedOn w:val="DefaultParagraphFont"/>
    <w:link w:val="BodyText3"/>
    <w:rsid w:val="00687188"/>
    <w:rPr>
      <w:rFonts w:ascii="CG Omega" w:hAnsi="CG Omega"/>
      <w:szCs w:val="18"/>
    </w:rPr>
  </w:style>
  <w:style w:type="paragraph" w:styleId="BlockText">
    <w:name w:val="Block Text"/>
    <w:basedOn w:val="Normal"/>
    <w:rsid w:val="00687188"/>
    <w:pPr>
      <w:tabs>
        <w:tab w:val="left" w:pos="-360"/>
        <w:tab w:val="left" w:pos="546"/>
        <w:tab w:val="left" w:pos="5760"/>
      </w:tabs>
      <w:autoSpaceDE w:val="0"/>
      <w:autoSpaceDN w:val="0"/>
      <w:adjustRightInd w:val="0"/>
      <w:spacing w:line="202" w:lineRule="auto"/>
      <w:ind w:left="5760" w:right="-180"/>
    </w:pPr>
    <w:rPr>
      <w:rFonts w:ascii="CG Omega" w:hAnsi="CG Omega"/>
      <w:sz w:val="20"/>
      <w:szCs w:val="18"/>
    </w:rPr>
  </w:style>
  <w:style w:type="paragraph" w:customStyle="1" w:styleId="ArticleNumber">
    <w:name w:val="Article Number"/>
    <w:basedOn w:val="Normal"/>
    <w:rsid w:val="00687188"/>
    <w:pPr>
      <w:numPr>
        <w:numId w:val="72"/>
      </w:numPr>
      <w:spacing w:line="480" w:lineRule="auto"/>
      <w:jc w:val="center"/>
    </w:pPr>
    <w:rPr>
      <w:rFonts w:ascii="CG Omega" w:hAnsi="CG Omega"/>
      <w:sz w:val="26"/>
      <w:szCs w:val="20"/>
    </w:rPr>
  </w:style>
  <w:style w:type="paragraph" w:customStyle="1" w:styleId="ArticleLevel1">
    <w:name w:val="Article Level (1)"/>
    <w:basedOn w:val="Normal"/>
    <w:rsid w:val="00687188"/>
    <w:pPr>
      <w:numPr>
        <w:ilvl w:val="1"/>
        <w:numId w:val="72"/>
      </w:numPr>
      <w:tabs>
        <w:tab w:val="clear" w:pos="1080"/>
      </w:tabs>
      <w:spacing w:line="480" w:lineRule="auto"/>
    </w:pPr>
    <w:rPr>
      <w:rFonts w:ascii="CG Omega" w:hAnsi="CG Omega"/>
      <w:sz w:val="26"/>
      <w:szCs w:val="20"/>
    </w:rPr>
  </w:style>
  <w:style w:type="paragraph" w:customStyle="1" w:styleId="ArticleLevela">
    <w:name w:val="Article Level (a)"/>
    <w:basedOn w:val="Normal"/>
    <w:rsid w:val="00687188"/>
    <w:pPr>
      <w:numPr>
        <w:ilvl w:val="2"/>
        <w:numId w:val="72"/>
      </w:numPr>
      <w:tabs>
        <w:tab w:val="clear" w:pos="1440"/>
      </w:tabs>
      <w:spacing w:line="480" w:lineRule="auto"/>
      <w:ind w:left="2160"/>
    </w:pPr>
    <w:rPr>
      <w:rFonts w:ascii="CG Omega" w:hAnsi="CG Omega"/>
      <w:sz w:val="26"/>
      <w:szCs w:val="20"/>
    </w:rPr>
  </w:style>
  <w:style w:type="paragraph" w:customStyle="1" w:styleId="ArticleLeveli">
    <w:name w:val="Article Level (i)"/>
    <w:basedOn w:val="Normal"/>
    <w:rsid w:val="00687188"/>
    <w:pPr>
      <w:numPr>
        <w:ilvl w:val="3"/>
        <w:numId w:val="72"/>
      </w:numPr>
      <w:tabs>
        <w:tab w:val="clear" w:pos="2160"/>
      </w:tabs>
      <w:spacing w:line="480" w:lineRule="auto"/>
      <w:ind w:left="2880"/>
    </w:pPr>
    <w:rPr>
      <w:rFonts w:ascii="CG Omega" w:hAnsi="CG Omega"/>
      <w:sz w:val="26"/>
      <w:szCs w:val="20"/>
    </w:rPr>
  </w:style>
  <w:style w:type="paragraph" w:styleId="Caption">
    <w:name w:val="caption"/>
    <w:basedOn w:val="Normal"/>
    <w:next w:val="Normal"/>
    <w:rsid w:val="00687188"/>
    <w:pPr>
      <w:pBdr>
        <w:bottom w:val="single" w:sz="4" w:space="1" w:color="auto"/>
      </w:pBdr>
      <w:tabs>
        <w:tab w:val="left" w:pos="720"/>
        <w:tab w:val="left" w:pos="1440"/>
      </w:tabs>
      <w:jc w:val="center"/>
    </w:pPr>
    <w:rPr>
      <w:rFonts w:ascii="CG Omega" w:hAnsi="CG Omega"/>
      <w:b/>
      <w:sz w:val="39"/>
      <w:szCs w:val="20"/>
    </w:rPr>
  </w:style>
  <w:style w:type="paragraph" w:customStyle="1" w:styleId="Bulletstyle">
    <w:name w:val="Bullet style"/>
    <w:basedOn w:val="Normal"/>
    <w:rsid w:val="00687188"/>
    <w:pPr>
      <w:numPr>
        <w:numId w:val="74"/>
      </w:num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CG Omega" w:hAnsi="CG Omega"/>
      <w:sz w:val="26"/>
      <w:szCs w:val="20"/>
    </w:rPr>
  </w:style>
  <w:style w:type="paragraph" w:customStyle="1" w:styleId="NumberStyle">
    <w:name w:val="Number Style"/>
    <w:basedOn w:val="BodyTextIndent"/>
    <w:rsid w:val="00687188"/>
    <w:pPr>
      <w:numPr>
        <w:numId w:val="73"/>
      </w:numPr>
      <w:tabs>
        <w:tab w:val="clear" w:pos="360"/>
      </w:tabs>
      <w:ind w:left="32" w:firstLine="420"/>
    </w:pPr>
  </w:style>
  <w:style w:type="character" w:customStyle="1" w:styleId="DocumentMapChar">
    <w:name w:val="Document Map Char"/>
    <w:link w:val="DocumentMap"/>
    <w:semiHidden/>
    <w:locked/>
    <w:rsid w:val="00687188"/>
    <w:rPr>
      <w:rFonts w:ascii="Tahoma" w:hAnsi="Tahoma"/>
      <w:sz w:val="24"/>
      <w:szCs w:val="24"/>
      <w:shd w:val="clear" w:color="auto" w:fill="000080"/>
    </w:rPr>
  </w:style>
  <w:style w:type="paragraph" w:customStyle="1" w:styleId="Default">
    <w:name w:val="Default"/>
    <w:link w:val="DefaultChar"/>
    <w:rsid w:val="00687188"/>
    <w:pPr>
      <w:autoSpaceDE w:val="0"/>
      <w:autoSpaceDN w:val="0"/>
      <w:adjustRightInd w:val="0"/>
    </w:pPr>
    <w:rPr>
      <w:color w:val="000000"/>
      <w:sz w:val="24"/>
      <w:szCs w:val="24"/>
    </w:rPr>
  </w:style>
  <w:style w:type="paragraph" w:customStyle="1" w:styleId="ChartHeading2">
    <w:name w:val="Chart Heading2"/>
    <w:basedOn w:val="Normal"/>
    <w:next w:val="Normal"/>
    <w:rsid w:val="00687188"/>
    <w:pPr>
      <w:jc w:val="center"/>
    </w:pPr>
    <w:rPr>
      <w:rFonts w:ascii="Arial" w:hAnsi="Arial"/>
      <w:b/>
      <w:sz w:val="28"/>
    </w:rPr>
  </w:style>
  <w:style w:type="paragraph" w:customStyle="1" w:styleId="CM3">
    <w:name w:val="CM3"/>
    <w:basedOn w:val="Default"/>
    <w:next w:val="Default"/>
    <w:link w:val="CM3Char"/>
    <w:rsid w:val="00687188"/>
    <w:pPr>
      <w:widowControl w:val="0"/>
    </w:pPr>
  </w:style>
  <w:style w:type="paragraph" w:customStyle="1" w:styleId="ChartBodyList">
    <w:name w:val="Chart Body List"/>
    <w:basedOn w:val="Default"/>
    <w:rsid w:val="00687188"/>
    <w:pPr>
      <w:widowControl w:val="0"/>
    </w:pPr>
    <w:rPr>
      <w:sz w:val="20"/>
    </w:rPr>
  </w:style>
  <w:style w:type="paragraph" w:customStyle="1" w:styleId="ChartBodyListTopic">
    <w:name w:val="Chart Body List Topic"/>
    <w:basedOn w:val="CM3"/>
    <w:rsid w:val="00687188"/>
    <w:rPr>
      <w:b/>
      <w:bCs/>
    </w:rPr>
  </w:style>
  <w:style w:type="paragraph" w:customStyle="1" w:styleId="ChartBody">
    <w:name w:val="Chart Body"/>
    <w:basedOn w:val="CM3"/>
    <w:link w:val="ChartBodyChar"/>
    <w:rsid w:val="00687188"/>
  </w:style>
  <w:style w:type="character" w:customStyle="1" w:styleId="DefaultChar">
    <w:name w:val="Default Char"/>
    <w:link w:val="Default"/>
    <w:locked/>
    <w:rsid w:val="00687188"/>
    <w:rPr>
      <w:color w:val="000000"/>
      <w:sz w:val="24"/>
      <w:szCs w:val="24"/>
    </w:rPr>
  </w:style>
  <w:style w:type="character" w:customStyle="1" w:styleId="CM3Char">
    <w:name w:val="CM3 Char"/>
    <w:basedOn w:val="DefaultChar"/>
    <w:link w:val="CM3"/>
    <w:locked/>
    <w:rsid w:val="00687188"/>
    <w:rPr>
      <w:color w:val="000000"/>
      <w:sz w:val="24"/>
      <w:szCs w:val="24"/>
    </w:rPr>
  </w:style>
  <w:style w:type="character" w:customStyle="1" w:styleId="ChartBodyChar">
    <w:name w:val="Chart Body Char"/>
    <w:basedOn w:val="CM3Char"/>
    <w:link w:val="ChartBody"/>
    <w:locked/>
    <w:rsid w:val="00687188"/>
    <w:rPr>
      <w:color w:val="000000"/>
      <w:sz w:val="24"/>
      <w:szCs w:val="24"/>
    </w:rPr>
  </w:style>
  <w:style w:type="paragraph" w:customStyle="1" w:styleId="EHReference">
    <w:name w:val="EH.Reference"/>
    <w:basedOn w:val="BodyText"/>
    <w:rsid w:val="00687188"/>
    <w:pPr>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 w:val="left" w:pos="1440"/>
      </w:tabs>
      <w:autoSpaceDE/>
      <w:autoSpaceDN/>
      <w:adjustRightInd/>
      <w:spacing w:after="240" w:line="240" w:lineRule="auto"/>
      <w:ind w:left="1440" w:hanging="1440"/>
      <w:jc w:val="both"/>
    </w:pPr>
    <w:rPr>
      <w:rFonts w:ascii="Garamond" w:hAnsi="Garamond"/>
      <w:sz w:val="24"/>
      <w:szCs w:val="20"/>
    </w:rPr>
  </w:style>
  <w:style w:type="paragraph" w:customStyle="1" w:styleId="BodyTextKeep">
    <w:name w:val="Body Text Keep"/>
    <w:basedOn w:val="BodyText"/>
    <w:next w:val="BodyText"/>
    <w:rsid w:val="00687188"/>
    <w:pPr>
      <w:keepNext/>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autoSpaceDE/>
      <w:autoSpaceDN/>
      <w:adjustRightInd/>
      <w:spacing w:after="240" w:line="240" w:lineRule="auto"/>
      <w:jc w:val="both"/>
    </w:pPr>
    <w:rPr>
      <w:rFonts w:ascii="Garamond" w:hAnsi="Garamond"/>
      <w:sz w:val="24"/>
      <w:szCs w:val="20"/>
    </w:rPr>
  </w:style>
  <w:style w:type="paragraph" w:customStyle="1" w:styleId="ChapterLabel">
    <w:name w:val="Chapter Label"/>
    <w:basedOn w:val="Normal"/>
    <w:next w:val="BodyText"/>
    <w:rsid w:val="00687188"/>
    <w:pPr>
      <w:keepNext/>
      <w:pBdr>
        <w:bottom w:val="single" w:sz="6" w:space="3" w:color="auto"/>
      </w:pBdr>
      <w:spacing w:after="240"/>
    </w:pPr>
    <w:rPr>
      <w:rFonts w:ascii="Arial Black" w:hAnsi="Arial Black"/>
      <w:caps/>
      <w:spacing w:val="70"/>
      <w:kern w:val="28"/>
      <w:sz w:val="15"/>
      <w:szCs w:val="20"/>
    </w:rPr>
  </w:style>
  <w:style w:type="paragraph" w:customStyle="1" w:styleId="ChapterSubtitle">
    <w:name w:val="Chapter Subtitle"/>
    <w:basedOn w:val="Normal"/>
    <w:next w:val="BodyText"/>
    <w:rsid w:val="00687188"/>
    <w:pPr>
      <w:keepNext/>
      <w:keepLines/>
      <w:spacing w:after="360" w:line="240" w:lineRule="atLeast"/>
      <w:ind w:right="1800"/>
    </w:pPr>
    <w:rPr>
      <w:rFonts w:ascii="Garamond" w:hAnsi="Garamond"/>
      <w:i/>
      <w:kern w:val="28"/>
      <w:sz w:val="28"/>
      <w:szCs w:val="20"/>
    </w:rPr>
  </w:style>
  <w:style w:type="paragraph" w:customStyle="1" w:styleId="ChapterTitle">
    <w:name w:val="Chapter Title"/>
    <w:basedOn w:val="Normal"/>
    <w:next w:val="ChapterSubtitle"/>
    <w:rsid w:val="00687188"/>
    <w:pPr>
      <w:keepNext/>
      <w:keepLines/>
      <w:spacing w:before="480" w:after="360" w:line="440" w:lineRule="atLeast"/>
      <w:ind w:right="2160"/>
    </w:pPr>
    <w:rPr>
      <w:rFonts w:ascii="Arial Black" w:hAnsi="Arial Black"/>
      <w:color w:val="000000"/>
      <w:kern w:val="28"/>
      <w:sz w:val="32"/>
      <w:szCs w:val="20"/>
    </w:rPr>
  </w:style>
  <w:style w:type="paragraph" w:styleId="Date">
    <w:name w:val="Date"/>
    <w:basedOn w:val="BodyText"/>
    <w:link w:val="DateChar"/>
    <w:rsid w:val="00687188"/>
    <w:pPr>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autoSpaceDE/>
      <w:autoSpaceDN/>
      <w:adjustRightInd/>
      <w:spacing w:before="480" w:after="160" w:line="240" w:lineRule="auto"/>
      <w:jc w:val="center"/>
    </w:pPr>
    <w:rPr>
      <w:rFonts w:ascii="Times New Roman" w:hAnsi="Times New Roman"/>
      <w:b/>
      <w:sz w:val="20"/>
      <w:szCs w:val="20"/>
    </w:rPr>
  </w:style>
  <w:style w:type="character" w:customStyle="1" w:styleId="DateChar">
    <w:name w:val="Date Char"/>
    <w:basedOn w:val="DefaultParagraphFont"/>
    <w:link w:val="Date"/>
    <w:rsid w:val="00687188"/>
    <w:rPr>
      <w:b/>
    </w:rPr>
  </w:style>
  <w:style w:type="character" w:styleId="EndnoteReference">
    <w:name w:val="endnote reference"/>
    <w:semiHidden/>
    <w:rsid w:val="00687188"/>
    <w:rPr>
      <w:rFonts w:cs="Times New Roman"/>
      <w:sz w:val="18"/>
      <w:vertAlign w:val="superscript"/>
    </w:rPr>
  </w:style>
  <w:style w:type="paragraph" w:styleId="EndnoteText">
    <w:name w:val="endnote text"/>
    <w:basedOn w:val="Normal"/>
    <w:link w:val="EndnoteTextChar"/>
    <w:semiHidden/>
    <w:rsid w:val="00687188"/>
    <w:pPr>
      <w:tabs>
        <w:tab w:val="left" w:pos="187"/>
      </w:tabs>
      <w:spacing w:after="120" w:line="220" w:lineRule="exact"/>
      <w:ind w:left="187" w:hanging="187"/>
    </w:pPr>
    <w:rPr>
      <w:rFonts w:ascii="Garamond" w:hAnsi="Garamond"/>
      <w:sz w:val="18"/>
      <w:szCs w:val="20"/>
    </w:rPr>
  </w:style>
  <w:style w:type="character" w:customStyle="1" w:styleId="EndnoteTextChar">
    <w:name w:val="Endnote Text Char"/>
    <w:basedOn w:val="DefaultParagraphFont"/>
    <w:link w:val="EndnoteText"/>
    <w:semiHidden/>
    <w:rsid w:val="00687188"/>
    <w:rPr>
      <w:rFonts w:ascii="Garamond" w:hAnsi="Garamond"/>
      <w:sz w:val="18"/>
    </w:rPr>
  </w:style>
  <w:style w:type="paragraph" w:customStyle="1" w:styleId="FooterFirst">
    <w:name w:val="Footer First"/>
    <w:basedOn w:val="Footer"/>
    <w:rsid w:val="00687188"/>
    <w:pPr>
      <w:keepLines/>
      <w:tabs>
        <w:tab w:val="clear" w:pos="8640"/>
      </w:tabs>
      <w:jc w:val="center"/>
    </w:pPr>
    <w:rPr>
      <w:rFonts w:ascii="Arial Black" w:hAnsi="Arial Black"/>
      <w:spacing w:val="-10"/>
      <w:sz w:val="16"/>
      <w:szCs w:val="20"/>
    </w:rPr>
  </w:style>
  <w:style w:type="paragraph" w:styleId="Index1">
    <w:name w:val="index 1"/>
    <w:basedOn w:val="Normal"/>
    <w:semiHidden/>
    <w:rsid w:val="00687188"/>
    <w:pPr>
      <w:tabs>
        <w:tab w:val="right" w:leader="dot" w:pos="3960"/>
      </w:tabs>
      <w:spacing w:line="240" w:lineRule="atLeast"/>
      <w:ind w:left="720" w:hanging="720"/>
    </w:pPr>
    <w:rPr>
      <w:rFonts w:ascii="Arial Black" w:hAnsi="Arial Black"/>
      <w:sz w:val="15"/>
      <w:szCs w:val="20"/>
    </w:rPr>
  </w:style>
  <w:style w:type="paragraph" w:styleId="Index2">
    <w:name w:val="index 2"/>
    <w:basedOn w:val="Normal"/>
    <w:semiHidden/>
    <w:rsid w:val="00687188"/>
    <w:pPr>
      <w:tabs>
        <w:tab w:val="right" w:leader="dot" w:pos="3960"/>
      </w:tabs>
      <w:spacing w:line="240" w:lineRule="atLeast"/>
      <w:ind w:left="180"/>
    </w:pPr>
    <w:rPr>
      <w:rFonts w:ascii="Arial Black" w:hAnsi="Arial Black"/>
      <w:sz w:val="15"/>
      <w:szCs w:val="20"/>
    </w:rPr>
  </w:style>
  <w:style w:type="paragraph" w:styleId="Index3">
    <w:name w:val="index 3"/>
    <w:basedOn w:val="Normal"/>
    <w:semiHidden/>
    <w:rsid w:val="00687188"/>
    <w:pPr>
      <w:tabs>
        <w:tab w:val="right" w:leader="dot" w:pos="3960"/>
      </w:tabs>
      <w:spacing w:line="240" w:lineRule="atLeast"/>
      <w:ind w:left="180"/>
    </w:pPr>
    <w:rPr>
      <w:rFonts w:ascii="Garamond" w:hAnsi="Garamond"/>
      <w:sz w:val="18"/>
      <w:szCs w:val="20"/>
    </w:rPr>
  </w:style>
  <w:style w:type="paragraph" w:styleId="Index4">
    <w:name w:val="index 4"/>
    <w:basedOn w:val="Normal"/>
    <w:semiHidden/>
    <w:rsid w:val="00687188"/>
    <w:pPr>
      <w:tabs>
        <w:tab w:val="right" w:pos="3960"/>
      </w:tabs>
      <w:spacing w:line="240" w:lineRule="atLeast"/>
      <w:ind w:left="180"/>
    </w:pPr>
    <w:rPr>
      <w:rFonts w:ascii="Garamond" w:hAnsi="Garamond"/>
      <w:sz w:val="18"/>
      <w:szCs w:val="20"/>
    </w:rPr>
  </w:style>
  <w:style w:type="paragraph" w:styleId="Index5">
    <w:name w:val="index 5"/>
    <w:basedOn w:val="Normal"/>
    <w:semiHidden/>
    <w:rsid w:val="00687188"/>
    <w:pPr>
      <w:tabs>
        <w:tab w:val="right" w:pos="3960"/>
      </w:tabs>
      <w:spacing w:line="240" w:lineRule="atLeast"/>
      <w:ind w:left="180"/>
    </w:pPr>
    <w:rPr>
      <w:rFonts w:ascii="Garamond" w:hAnsi="Garamond"/>
      <w:sz w:val="18"/>
      <w:szCs w:val="20"/>
    </w:rPr>
  </w:style>
  <w:style w:type="paragraph" w:styleId="Index6">
    <w:name w:val="index 6"/>
    <w:basedOn w:val="Index1"/>
    <w:next w:val="Normal"/>
    <w:semiHidden/>
    <w:rsid w:val="00687188"/>
    <w:pPr>
      <w:tabs>
        <w:tab w:val="right" w:leader="dot" w:pos="3600"/>
      </w:tabs>
      <w:ind w:left="960" w:hanging="160"/>
    </w:pPr>
  </w:style>
  <w:style w:type="paragraph" w:styleId="Index7">
    <w:name w:val="index 7"/>
    <w:basedOn w:val="Index1"/>
    <w:next w:val="Normal"/>
    <w:semiHidden/>
    <w:rsid w:val="00687188"/>
    <w:pPr>
      <w:tabs>
        <w:tab w:val="right" w:leader="dot" w:pos="3600"/>
      </w:tabs>
      <w:ind w:left="1120" w:hanging="160"/>
    </w:pPr>
  </w:style>
  <w:style w:type="paragraph" w:styleId="Index8">
    <w:name w:val="index 8"/>
    <w:basedOn w:val="Normal"/>
    <w:next w:val="Normal"/>
    <w:semiHidden/>
    <w:rsid w:val="00687188"/>
    <w:pPr>
      <w:tabs>
        <w:tab w:val="right" w:leader="dot" w:pos="3600"/>
      </w:tabs>
      <w:ind w:left="1280" w:hanging="160"/>
    </w:pPr>
    <w:rPr>
      <w:rFonts w:ascii="Garamond" w:hAnsi="Garamond"/>
      <w:sz w:val="16"/>
      <w:szCs w:val="20"/>
    </w:rPr>
  </w:style>
  <w:style w:type="paragraph" w:styleId="IndexHeading">
    <w:name w:val="index heading"/>
    <w:basedOn w:val="Normal"/>
    <w:next w:val="Index1"/>
    <w:semiHidden/>
    <w:rsid w:val="00687188"/>
    <w:pPr>
      <w:keepNext/>
      <w:spacing w:line="480" w:lineRule="exact"/>
    </w:pPr>
    <w:rPr>
      <w:rFonts w:ascii="Garamond" w:hAnsi="Garamond"/>
      <w:caps/>
      <w:color w:val="808080"/>
      <w:kern w:val="28"/>
      <w:sz w:val="36"/>
      <w:szCs w:val="20"/>
    </w:rPr>
  </w:style>
  <w:style w:type="paragraph" w:styleId="MacroText">
    <w:name w:val="macro"/>
    <w:basedOn w:val="BodyText"/>
    <w:link w:val="MacroTextChar"/>
    <w:semiHidden/>
    <w:rsid w:val="00687188"/>
    <w:pPr>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autoSpaceDE/>
      <w:autoSpaceDN/>
      <w:adjustRightInd/>
      <w:spacing w:after="120" w:line="240" w:lineRule="auto"/>
      <w:jc w:val="both"/>
    </w:pPr>
    <w:rPr>
      <w:rFonts w:ascii="Courier New" w:hAnsi="Courier New"/>
      <w:sz w:val="24"/>
      <w:szCs w:val="20"/>
    </w:rPr>
  </w:style>
  <w:style w:type="character" w:customStyle="1" w:styleId="MacroTextChar">
    <w:name w:val="Macro Text Char"/>
    <w:basedOn w:val="DefaultParagraphFont"/>
    <w:link w:val="MacroText"/>
    <w:semiHidden/>
    <w:rsid w:val="00687188"/>
    <w:rPr>
      <w:rFonts w:ascii="Courier New" w:hAnsi="Courier New"/>
      <w:sz w:val="24"/>
    </w:rPr>
  </w:style>
  <w:style w:type="character" w:customStyle="1" w:styleId="Superscript">
    <w:name w:val="Superscript"/>
    <w:rsid w:val="00687188"/>
    <w:rPr>
      <w:position w:val="0"/>
      <w:vertAlign w:val="superscript"/>
    </w:rPr>
  </w:style>
  <w:style w:type="paragraph" w:styleId="TableofAuthorities">
    <w:name w:val="table of authorities"/>
    <w:basedOn w:val="Normal"/>
    <w:semiHidden/>
    <w:rsid w:val="00687188"/>
    <w:pPr>
      <w:tabs>
        <w:tab w:val="right" w:leader="dot" w:pos="8640"/>
      </w:tabs>
      <w:spacing w:after="240"/>
    </w:pPr>
    <w:rPr>
      <w:rFonts w:ascii="Garamond" w:hAnsi="Garamond"/>
      <w:sz w:val="20"/>
      <w:szCs w:val="20"/>
    </w:rPr>
  </w:style>
  <w:style w:type="paragraph" w:styleId="TableofFigures">
    <w:name w:val="table of figures"/>
    <w:basedOn w:val="Normal"/>
    <w:semiHidden/>
    <w:rsid w:val="00687188"/>
    <w:pPr>
      <w:tabs>
        <w:tab w:val="right" w:leader="dot" w:pos="8640"/>
      </w:tabs>
      <w:ind w:left="720" w:hanging="720"/>
    </w:pPr>
    <w:rPr>
      <w:rFonts w:ascii="Garamond" w:hAnsi="Garamond"/>
      <w:sz w:val="16"/>
      <w:szCs w:val="20"/>
    </w:rPr>
  </w:style>
  <w:style w:type="paragraph" w:styleId="TOAHeading">
    <w:name w:val="toa heading"/>
    <w:basedOn w:val="Normal"/>
    <w:next w:val="Normal"/>
    <w:semiHidden/>
    <w:rsid w:val="00687188"/>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szCs w:val="20"/>
    </w:rPr>
  </w:style>
  <w:style w:type="paragraph" w:customStyle="1" w:styleId="TOCBase">
    <w:name w:val="TOC Base"/>
    <w:basedOn w:val="TOC2"/>
    <w:rsid w:val="00687188"/>
    <w:pPr>
      <w:tabs>
        <w:tab w:val="clear" w:pos="8990"/>
        <w:tab w:val="right" w:pos="3600"/>
      </w:tabs>
      <w:spacing w:line="320" w:lineRule="atLeast"/>
      <w:ind w:left="0" w:firstLine="0"/>
    </w:pPr>
    <w:rPr>
      <w:rFonts w:ascii="Arial Black" w:hAnsi="Arial Black"/>
      <w:sz w:val="15"/>
      <w:szCs w:val="20"/>
    </w:rPr>
  </w:style>
  <w:style w:type="paragraph" w:customStyle="1" w:styleId="CM39">
    <w:name w:val="CM39"/>
    <w:basedOn w:val="Default"/>
    <w:next w:val="Default"/>
    <w:rsid w:val="00687188"/>
    <w:pPr>
      <w:widowControl w:val="0"/>
    </w:pPr>
    <w:rPr>
      <w:color w:val="auto"/>
    </w:rPr>
  </w:style>
  <w:style w:type="paragraph" w:customStyle="1" w:styleId="CM2">
    <w:name w:val="CM2"/>
    <w:basedOn w:val="Default"/>
    <w:next w:val="Default"/>
    <w:rsid w:val="00687188"/>
    <w:pPr>
      <w:widowControl w:val="0"/>
      <w:spacing w:line="283" w:lineRule="atLeast"/>
    </w:pPr>
    <w:rPr>
      <w:color w:val="auto"/>
    </w:rPr>
  </w:style>
  <w:style w:type="paragraph" w:customStyle="1" w:styleId="CM40">
    <w:name w:val="CM40"/>
    <w:basedOn w:val="Default"/>
    <w:next w:val="Default"/>
    <w:rsid w:val="00687188"/>
    <w:pPr>
      <w:widowControl w:val="0"/>
    </w:pPr>
    <w:rPr>
      <w:color w:val="auto"/>
    </w:rPr>
  </w:style>
  <w:style w:type="paragraph" w:customStyle="1" w:styleId="CM4">
    <w:name w:val="CM4"/>
    <w:basedOn w:val="Default"/>
    <w:next w:val="Default"/>
    <w:rsid w:val="00687188"/>
    <w:pPr>
      <w:widowControl w:val="0"/>
    </w:pPr>
    <w:rPr>
      <w:color w:val="auto"/>
    </w:rPr>
  </w:style>
  <w:style w:type="paragraph" w:customStyle="1" w:styleId="CM41">
    <w:name w:val="CM41"/>
    <w:basedOn w:val="Default"/>
    <w:next w:val="Default"/>
    <w:rsid w:val="00687188"/>
    <w:pPr>
      <w:widowControl w:val="0"/>
    </w:pPr>
    <w:rPr>
      <w:color w:val="auto"/>
    </w:rPr>
  </w:style>
  <w:style w:type="paragraph" w:customStyle="1" w:styleId="CM42">
    <w:name w:val="CM42"/>
    <w:basedOn w:val="Default"/>
    <w:next w:val="Default"/>
    <w:rsid w:val="00687188"/>
    <w:pPr>
      <w:widowControl w:val="0"/>
    </w:pPr>
    <w:rPr>
      <w:color w:val="auto"/>
    </w:rPr>
  </w:style>
  <w:style w:type="paragraph" w:customStyle="1" w:styleId="CM5">
    <w:name w:val="CM5"/>
    <w:basedOn w:val="Default"/>
    <w:next w:val="Default"/>
    <w:rsid w:val="00687188"/>
    <w:pPr>
      <w:widowControl w:val="0"/>
      <w:spacing w:line="288" w:lineRule="atLeast"/>
    </w:pPr>
    <w:rPr>
      <w:color w:val="auto"/>
    </w:rPr>
  </w:style>
  <w:style w:type="paragraph" w:customStyle="1" w:styleId="CM6">
    <w:name w:val="CM6"/>
    <w:basedOn w:val="Default"/>
    <w:next w:val="Default"/>
    <w:rsid w:val="00687188"/>
    <w:pPr>
      <w:widowControl w:val="0"/>
      <w:spacing w:line="283" w:lineRule="atLeast"/>
    </w:pPr>
    <w:rPr>
      <w:color w:val="auto"/>
    </w:rPr>
  </w:style>
  <w:style w:type="paragraph" w:customStyle="1" w:styleId="CM7">
    <w:name w:val="CM7"/>
    <w:basedOn w:val="Default"/>
    <w:next w:val="Default"/>
    <w:rsid w:val="00687188"/>
    <w:pPr>
      <w:widowControl w:val="0"/>
      <w:spacing w:line="283" w:lineRule="atLeast"/>
    </w:pPr>
    <w:rPr>
      <w:color w:val="auto"/>
    </w:rPr>
  </w:style>
  <w:style w:type="paragraph" w:customStyle="1" w:styleId="CM8">
    <w:name w:val="CM8"/>
    <w:basedOn w:val="Default"/>
    <w:next w:val="Default"/>
    <w:rsid w:val="00687188"/>
    <w:pPr>
      <w:widowControl w:val="0"/>
      <w:spacing w:line="286" w:lineRule="atLeast"/>
    </w:pPr>
    <w:rPr>
      <w:color w:val="auto"/>
    </w:rPr>
  </w:style>
  <w:style w:type="paragraph" w:customStyle="1" w:styleId="CM9">
    <w:name w:val="CM9"/>
    <w:basedOn w:val="Default"/>
    <w:next w:val="Default"/>
    <w:rsid w:val="00687188"/>
    <w:pPr>
      <w:widowControl w:val="0"/>
      <w:spacing w:line="286" w:lineRule="atLeast"/>
    </w:pPr>
    <w:rPr>
      <w:color w:val="auto"/>
    </w:rPr>
  </w:style>
  <w:style w:type="paragraph" w:customStyle="1" w:styleId="CM10">
    <w:name w:val="CM10"/>
    <w:basedOn w:val="Default"/>
    <w:next w:val="Default"/>
    <w:rsid w:val="00687188"/>
    <w:pPr>
      <w:widowControl w:val="0"/>
      <w:spacing w:line="286" w:lineRule="atLeast"/>
    </w:pPr>
    <w:rPr>
      <w:color w:val="auto"/>
    </w:rPr>
  </w:style>
  <w:style w:type="paragraph" w:customStyle="1" w:styleId="CM11">
    <w:name w:val="CM11"/>
    <w:basedOn w:val="Default"/>
    <w:next w:val="Default"/>
    <w:rsid w:val="00687188"/>
    <w:pPr>
      <w:widowControl w:val="0"/>
      <w:spacing w:line="283" w:lineRule="atLeast"/>
    </w:pPr>
    <w:rPr>
      <w:color w:val="auto"/>
    </w:rPr>
  </w:style>
  <w:style w:type="paragraph" w:customStyle="1" w:styleId="CM43">
    <w:name w:val="CM43"/>
    <w:basedOn w:val="Default"/>
    <w:next w:val="Default"/>
    <w:rsid w:val="00687188"/>
    <w:pPr>
      <w:widowControl w:val="0"/>
    </w:pPr>
    <w:rPr>
      <w:color w:val="auto"/>
    </w:rPr>
  </w:style>
  <w:style w:type="paragraph" w:customStyle="1" w:styleId="Chartbody0">
    <w:name w:val="Chart body"/>
    <w:basedOn w:val="Default"/>
    <w:next w:val="Default"/>
    <w:rsid w:val="00687188"/>
    <w:pPr>
      <w:widowControl w:val="0"/>
    </w:pPr>
    <w:rPr>
      <w:rFonts w:ascii="Arial" w:hAnsi="Arial"/>
      <w:color w:val="auto"/>
      <w:sz w:val="20"/>
    </w:rPr>
  </w:style>
  <w:style w:type="paragraph" w:customStyle="1" w:styleId="CM13">
    <w:name w:val="CM13"/>
    <w:basedOn w:val="Default"/>
    <w:next w:val="Default"/>
    <w:rsid w:val="00687188"/>
    <w:pPr>
      <w:widowControl w:val="0"/>
      <w:spacing w:line="278" w:lineRule="atLeast"/>
    </w:pPr>
    <w:rPr>
      <w:color w:val="auto"/>
    </w:rPr>
  </w:style>
  <w:style w:type="paragraph" w:customStyle="1" w:styleId="CM45">
    <w:name w:val="CM45"/>
    <w:basedOn w:val="Default"/>
    <w:next w:val="Default"/>
    <w:rsid w:val="00687188"/>
    <w:pPr>
      <w:widowControl w:val="0"/>
    </w:pPr>
    <w:rPr>
      <w:color w:val="auto"/>
    </w:rPr>
  </w:style>
  <w:style w:type="paragraph" w:customStyle="1" w:styleId="CM44">
    <w:name w:val="CM44"/>
    <w:basedOn w:val="Default"/>
    <w:next w:val="Default"/>
    <w:rsid w:val="00687188"/>
    <w:pPr>
      <w:widowControl w:val="0"/>
    </w:pPr>
    <w:rPr>
      <w:color w:val="auto"/>
    </w:rPr>
  </w:style>
  <w:style w:type="paragraph" w:customStyle="1" w:styleId="CM14">
    <w:name w:val="CM14"/>
    <w:basedOn w:val="Default"/>
    <w:next w:val="Default"/>
    <w:rsid w:val="00687188"/>
    <w:pPr>
      <w:widowControl w:val="0"/>
    </w:pPr>
    <w:rPr>
      <w:color w:val="auto"/>
    </w:rPr>
  </w:style>
  <w:style w:type="paragraph" w:customStyle="1" w:styleId="CM15">
    <w:name w:val="CM15"/>
    <w:basedOn w:val="Default"/>
    <w:next w:val="Default"/>
    <w:rsid w:val="00687188"/>
    <w:pPr>
      <w:widowControl w:val="0"/>
      <w:spacing w:line="311" w:lineRule="atLeast"/>
    </w:pPr>
    <w:rPr>
      <w:color w:val="auto"/>
    </w:rPr>
  </w:style>
  <w:style w:type="paragraph" w:customStyle="1" w:styleId="CM16">
    <w:name w:val="CM16"/>
    <w:basedOn w:val="Default"/>
    <w:next w:val="Default"/>
    <w:rsid w:val="00687188"/>
    <w:pPr>
      <w:widowControl w:val="0"/>
    </w:pPr>
    <w:rPr>
      <w:color w:val="auto"/>
    </w:rPr>
  </w:style>
  <w:style w:type="paragraph" w:customStyle="1" w:styleId="CM17">
    <w:name w:val="CM17"/>
    <w:basedOn w:val="Default"/>
    <w:next w:val="Default"/>
    <w:rsid w:val="00687188"/>
    <w:pPr>
      <w:widowControl w:val="0"/>
      <w:spacing w:line="288" w:lineRule="atLeast"/>
    </w:pPr>
    <w:rPr>
      <w:color w:val="auto"/>
    </w:rPr>
  </w:style>
  <w:style w:type="paragraph" w:customStyle="1" w:styleId="CM18">
    <w:name w:val="CM18"/>
    <w:basedOn w:val="Default"/>
    <w:next w:val="Default"/>
    <w:rsid w:val="00687188"/>
    <w:pPr>
      <w:widowControl w:val="0"/>
      <w:spacing w:line="283" w:lineRule="atLeast"/>
    </w:pPr>
    <w:rPr>
      <w:color w:val="auto"/>
    </w:rPr>
  </w:style>
  <w:style w:type="paragraph" w:customStyle="1" w:styleId="CM19">
    <w:name w:val="CM19"/>
    <w:basedOn w:val="Default"/>
    <w:next w:val="Default"/>
    <w:rsid w:val="00687188"/>
    <w:pPr>
      <w:widowControl w:val="0"/>
      <w:spacing w:line="293" w:lineRule="atLeast"/>
    </w:pPr>
    <w:rPr>
      <w:color w:val="auto"/>
    </w:rPr>
  </w:style>
  <w:style w:type="paragraph" w:customStyle="1" w:styleId="CM20">
    <w:name w:val="CM20"/>
    <w:basedOn w:val="Default"/>
    <w:next w:val="Default"/>
    <w:rsid w:val="00687188"/>
    <w:pPr>
      <w:widowControl w:val="0"/>
      <w:spacing w:line="286" w:lineRule="atLeast"/>
    </w:pPr>
    <w:rPr>
      <w:color w:val="auto"/>
    </w:rPr>
  </w:style>
  <w:style w:type="paragraph" w:customStyle="1" w:styleId="CM21">
    <w:name w:val="CM21"/>
    <w:basedOn w:val="Default"/>
    <w:next w:val="Default"/>
    <w:rsid w:val="00687188"/>
    <w:pPr>
      <w:widowControl w:val="0"/>
      <w:spacing w:line="283" w:lineRule="atLeast"/>
    </w:pPr>
    <w:rPr>
      <w:color w:val="auto"/>
    </w:rPr>
  </w:style>
  <w:style w:type="paragraph" w:customStyle="1" w:styleId="CM22">
    <w:name w:val="CM22"/>
    <w:basedOn w:val="Default"/>
    <w:next w:val="Default"/>
    <w:rsid w:val="00687188"/>
    <w:pPr>
      <w:widowControl w:val="0"/>
      <w:spacing w:line="286" w:lineRule="atLeast"/>
    </w:pPr>
    <w:rPr>
      <w:color w:val="auto"/>
    </w:rPr>
  </w:style>
  <w:style w:type="paragraph" w:customStyle="1" w:styleId="CM23">
    <w:name w:val="CM23"/>
    <w:basedOn w:val="Default"/>
    <w:next w:val="Default"/>
    <w:rsid w:val="00687188"/>
    <w:pPr>
      <w:widowControl w:val="0"/>
      <w:spacing w:line="286" w:lineRule="atLeast"/>
    </w:pPr>
    <w:rPr>
      <w:color w:val="auto"/>
    </w:rPr>
  </w:style>
  <w:style w:type="paragraph" w:customStyle="1" w:styleId="CM24">
    <w:name w:val="CM24"/>
    <w:basedOn w:val="Default"/>
    <w:next w:val="Default"/>
    <w:rsid w:val="00687188"/>
    <w:pPr>
      <w:widowControl w:val="0"/>
      <w:spacing w:line="283" w:lineRule="atLeast"/>
    </w:pPr>
    <w:rPr>
      <w:color w:val="auto"/>
    </w:rPr>
  </w:style>
  <w:style w:type="paragraph" w:customStyle="1" w:styleId="CM25">
    <w:name w:val="CM25"/>
    <w:basedOn w:val="Default"/>
    <w:next w:val="Default"/>
    <w:rsid w:val="00687188"/>
    <w:pPr>
      <w:widowControl w:val="0"/>
    </w:pPr>
    <w:rPr>
      <w:color w:val="auto"/>
    </w:rPr>
  </w:style>
  <w:style w:type="paragraph" w:customStyle="1" w:styleId="CM26">
    <w:name w:val="CM26"/>
    <w:basedOn w:val="Default"/>
    <w:next w:val="Default"/>
    <w:rsid w:val="00687188"/>
    <w:pPr>
      <w:widowControl w:val="0"/>
      <w:spacing w:line="278" w:lineRule="atLeast"/>
    </w:pPr>
    <w:rPr>
      <w:color w:val="auto"/>
    </w:rPr>
  </w:style>
  <w:style w:type="paragraph" w:customStyle="1" w:styleId="CM46">
    <w:name w:val="CM46"/>
    <w:basedOn w:val="Default"/>
    <w:next w:val="Default"/>
    <w:rsid w:val="00687188"/>
    <w:pPr>
      <w:widowControl w:val="0"/>
    </w:pPr>
    <w:rPr>
      <w:color w:val="auto"/>
    </w:rPr>
  </w:style>
  <w:style w:type="paragraph" w:customStyle="1" w:styleId="CM27">
    <w:name w:val="CM27"/>
    <w:basedOn w:val="Default"/>
    <w:next w:val="Default"/>
    <w:rsid w:val="00687188"/>
    <w:pPr>
      <w:widowControl w:val="0"/>
    </w:pPr>
    <w:rPr>
      <w:color w:val="auto"/>
    </w:rPr>
  </w:style>
  <w:style w:type="paragraph" w:customStyle="1" w:styleId="CM31">
    <w:name w:val="CM31"/>
    <w:basedOn w:val="Default"/>
    <w:next w:val="Default"/>
    <w:rsid w:val="00687188"/>
    <w:pPr>
      <w:widowControl w:val="0"/>
      <w:spacing w:line="286" w:lineRule="atLeast"/>
    </w:pPr>
    <w:rPr>
      <w:color w:val="auto"/>
    </w:rPr>
  </w:style>
  <w:style w:type="paragraph" w:customStyle="1" w:styleId="CM33">
    <w:name w:val="CM33"/>
    <w:basedOn w:val="Default"/>
    <w:next w:val="Default"/>
    <w:rsid w:val="00687188"/>
    <w:pPr>
      <w:widowControl w:val="0"/>
      <w:spacing w:line="286" w:lineRule="atLeast"/>
    </w:pPr>
    <w:rPr>
      <w:color w:val="auto"/>
    </w:rPr>
  </w:style>
  <w:style w:type="paragraph" w:customStyle="1" w:styleId="CM34">
    <w:name w:val="CM34"/>
    <w:basedOn w:val="Default"/>
    <w:next w:val="Default"/>
    <w:rsid w:val="00687188"/>
    <w:pPr>
      <w:widowControl w:val="0"/>
    </w:pPr>
    <w:rPr>
      <w:color w:val="auto"/>
    </w:rPr>
  </w:style>
  <w:style w:type="paragraph" w:customStyle="1" w:styleId="CM35">
    <w:name w:val="CM35"/>
    <w:basedOn w:val="Default"/>
    <w:next w:val="Default"/>
    <w:rsid w:val="00687188"/>
    <w:pPr>
      <w:widowControl w:val="0"/>
      <w:spacing w:line="286" w:lineRule="atLeast"/>
    </w:pPr>
    <w:rPr>
      <w:color w:val="auto"/>
    </w:rPr>
  </w:style>
  <w:style w:type="paragraph" w:customStyle="1" w:styleId="CM37">
    <w:name w:val="CM37"/>
    <w:basedOn w:val="Default"/>
    <w:next w:val="Default"/>
    <w:rsid w:val="00687188"/>
    <w:pPr>
      <w:widowControl w:val="0"/>
      <w:spacing w:line="283" w:lineRule="atLeast"/>
    </w:pPr>
    <w:rPr>
      <w:color w:val="auto"/>
    </w:rPr>
  </w:style>
  <w:style w:type="paragraph" w:customStyle="1" w:styleId="StyleBodyTextTimesNewRoman12ptLinespacingsingle">
    <w:name w:val="Style Body Text + Times New Roman 12 pt Line spacing:  single"/>
    <w:basedOn w:val="BodyText"/>
    <w:link w:val="StyleBodyTextTimesNewRoman12ptLinespacingsingleChar"/>
    <w:rsid w:val="00687188"/>
    <w:pPr>
      <w:spacing w:line="240" w:lineRule="auto"/>
    </w:pPr>
    <w:rPr>
      <w:rFonts w:ascii="Times New Roman" w:hAnsi="Times New Roman"/>
      <w:sz w:val="24"/>
      <w:szCs w:val="20"/>
    </w:rPr>
  </w:style>
  <w:style w:type="character" w:customStyle="1" w:styleId="StyleBodyTextTimesNewRoman12ptLinespacingsingleChar">
    <w:name w:val="Style Body Text + Times New Roman 12 pt Line spacing:  single Char"/>
    <w:link w:val="StyleBodyTextTimesNewRoman12ptLinespacingsingle"/>
    <w:locked/>
    <w:rsid w:val="00687188"/>
    <w:rPr>
      <w:sz w:val="24"/>
    </w:rPr>
  </w:style>
  <w:style w:type="paragraph" w:customStyle="1" w:styleId="CM1">
    <w:name w:val="CM1"/>
    <w:basedOn w:val="Default"/>
    <w:next w:val="Default"/>
    <w:rsid w:val="00687188"/>
    <w:pPr>
      <w:widowControl w:val="0"/>
      <w:spacing w:line="283" w:lineRule="atLeast"/>
    </w:pPr>
    <w:rPr>
      <w:color w:val="auto"/>
    </w:rPr>
  </w:style>
  <w:style w:type="paragraph" w:customStyle="1" w:styleId="CAHDocHead1">
    <w:name w:val="CAH.DocHead 1"/>
    <w:basedOn w:val="Normal"/>
    <w:rsid w:val="00687188"/>
    <w:pPr>
      <w:keepNext/>
      <w:overflowPunct w:val="0"/>
      <w:autoSpaceDE w:val="0"/>
      <w:autoSpaceDN w:val="0"/>
      <w:adjustRightInd w:val="0"/>
      <w:spacing w:before="120" w:after="240"/>
      <w:textAlignment w:val="baseline"/>
    </w:pPr>
    <w:rPr>
      <w:rFonts w:ascii="Arial" w:hAnsi="Arial"/>
      <w:b/>
      <w:kern w:val="28"/>
      <w:szCs w:val="23"/>
    </w:rPr>
  </w:style>
  <w:style w:type="paragraph" w:customStyle="1" w:styleId="CAHDocHead2">
    <w:name w:val="CAH.DocHead 2"/>
    <w:basedOn w:val="Heading1"/>
    <w:rsid w:val="00687188"/>
    <w:pPr>
      <w:keepNext/>
      <w:widowControl/>
      <w:pBdr>
        <w:bottom w:val="none" w:sz="0" w:space="0" w:color="auto"/>
      </w:pBdr>
      <w:spacing w:after="240"/>
      <w:ind w:firstLine="0"/>
      <w:outlineLvl w:val="9"/>
    </w:pPr>
    <w:rPr>
      <w:rFonts w:ascii="Times New Roman" w:hAnsi="Times New Roman"/>
      <w:b w:val="0"/>
      <w:smallCaps/>
      <w:color w:val="000000"/>
      <w:kern w:val="28"/>
      <w:sz w:val="22"/>
      <w:szCs w:val="20"/>
    </w:rPr>
  </w:style>
  <w:style w:type="paragraph" w:customStyle="1" w:styleId="CAHbullet2">
    <w:name w:val="CAH.bullet 2"/>
    <w:basedOn w:val="Normal"/>
    <w:rsid w:val="00525B7F"/>
    <w:pPr>
      <w:tabs>
        <w:tab w:val="left" w:pos="990"/>
      </w:tabs>
      <w:overflowPunct w:val="0"/>
      <w:autoSpaceDE w:val="0"/>
      <w:autoSpaceDN w:val="0"/>
      <w:adjustRightInd w:val="0"/>
      <w:spacing w:before="60" w:after="120" w:line="240" w:lineRule="exact"/>
      <w:ind w:left="720" w:hanging="432"/>
      <w:jc w:val="both"/>
      <w:textAlignment w:val="baseline"/>
    </w:pPr>
    <w:rPr>
      <w:sz w:val="22"/>
      <w:szCs w:val="20"/>
    </w:rPr>
  </w:style>
  <w:style w:type="paragraph" w:customStyle="1" w:styleId="CAHUnderlineText">
    <w:name w:val="CAH.UnderlineText"/>
    <w:basedOn w:val="CAHDocHead2"/>
    <w:rsid w:val="00687188"/>
    <w:pPr>
      <w:spacing w:before="120" w:after="120"/>
    </w:pPr>
    <w:rPr>
      <w:b/>
      <w:u w:val="single"/>
    </w:rPr>
  </w:style>
  <w:style w:type="paragraph" w:customStyle="1" w:styleId="CAHDocHead3">
    <w:name w:val="CAH.DocHead3"/>
    <w:basedOn w:val="CAHDocHead2"/>
    <w:rsid w:val="00687188"/>
    <w:rPr>
      <w:b/>
      <w:i/>
    </w:rPr>
  </w:style>
  <w:style w:type="paragraph" w:customStyle="1" w:styleId="CAHDocText">
    <w:name w:val="CAH.Doc.Text"/>
    <w:basedOn w:val="Normal"/>
    <w:rsid w:val="00687188"/>
    <w:pPr>
      <w:overflowPunct w:val="0"/>
      <w:autoSpaceDE w:val="0"/>
      <w:autoSpaceDN w:val="0"/>
      <w:adjustRightInd w:val="0"/>
      <w:spacing w:after="240" w:line="240" w:lineRule="exact"/>
      <w:jc w:val="both"/>
      <w:textAlignment w:val="baseline"/>
    </w:pPr>
    <w:rPr>
      <w:sz w:val="22"/>
      <w:szCs w:val="21"/>
    </w:rPr>
  </w:style>
  <w:style w:type="paragraph" w:customStyle="1" w:styleId="CAHbullet1last">
    <w:name w:val="CAH.bullet 1.last"/>
    <w:basedOn w:val="Normal"/>
    <w:rsid w:val="00525B7F"/>
    <w:pPr>
      <w:tabs>
        <w:tab w:val="left" w:pos="360"/>
      </w:tabs>
      <w:overflowPunct w:val="0"/>
      <w:autoSpaceDE w:val="0"/>
      <w:autoSpaceDN w:val="0"/>
      <w:adjustRightInd w:val="0"/>
      <w:spacing w:before="60" w:after="240" w:line="240" w:lineRule="exact"/>
      <w:ind w:left="360" w:hanging="360"/>
      <w:jc w:val="both"/>
      <w:textAlignment w:val="baseline"/>
    </w:pPr>
    <w:rPr>
      <w:sz w:val="22"/>
      <w:szCs w:val="20"/>
    </w:rPr>
  </w:style>
  <w:style w:type="paragraph" w:customStyle="1" w:styleId="CAHBulletA">
    <w:name w:val="CAH.BulletA"/>
    <w:basedOn w:val="Normal"/>
    <w:rsid w:val="00CF0E30"/>
    <w:pPr>
      <w:keepNext/>
      <w:numPr>
        <w:numId w:val="75"/>
      </w:numPr>
      <w:spacing w:after="240"/>
    </w:pPr>
    <w:rPr>
      <w:bCs/>
      <w:smallCaps/>
      <w:color w:val="000000"/>
      <w:kern w:val="28"/>
      <w:sz w:val="22"/>
      <w:szCs w:val="20"/>
    </w:rPr>
  </w:style>
  <w:style w:type="paragraph" w:customStyle="1" w:styleId="CAHbulletA1">
    <w:name w:val="CAH.bulletA1"/>
    <w:rsid w:val="00687188"/>
    <w:pPr>
      <w:numPr>
        <w:numId w:val="77"/>
      </w:numPr>
      <w:spacing w:after="240" w:line="240" w:lineRule="exact"/>
    </w:pPr>
    <w:rPr>
      <w:sz w:val="22"/>
    </w:rPr>
  </w:style>
  <w:style w:type="paragraph" w:customStyle="1" w:styleId="CAHBulletA1a">
    <w:name w:val="CAH.BulletA1a"/>
    <w:rsid w:val="00687188"/>
    <w:pPr>
      <w:spacing w:after="240" w:line="240" w:lineRule="exact"/>
    </w:pPr>
    <w:rPr>
      <w:sz w:val="22"/>
    </w:rPr>
  </w:style>
  <w:style w:type="paragraph" w:customStyle="1" w:styleId="Checklist1">
    <w:name w:val="Checklist_1"/>
    <w:basedOn w:val="Normal"/>
    <w:rsid w:val="00687188"/>
    <w:pPr>
      <w:spacing w:before="60" w:after="120"/>
    </w:pPr>
    <w:rPr>
      <w:sz w:val="22"/>
      <w:szCs w:val="20"/>
    </w:rPr>
  </w:style>
  <w:style w:type="paragraph" w:customStyle="1" w:styleId="Checklist1a">
    <w:name w:val="Checklist_1_a"/>
    <w:rsid w:val="00687188"/>
    <w:pPr>
      <w:numPr>
        <w:numId w:val="78"/>
      </w:numPr>
      <w:spacing w:before="60" w:after="120"/>
      <w:jc w:val="both"/>
    </w:pPr>
    <w:rPr>
      <w:sz w:val="22"/>
    </w:rPr>
  </w:style>
  <w:style w:type="paragraph" w:customStyle="1" w:styleId="Checklist1ai">
    <w:name w:val="Checklist_1_a_i"/>
    <w:basedOn w:val="Normal"/>
    <w:rsid w:val="00340600"/>
    <w:pPr>
      <w:numPr>
        <w:ilvl w:val="2"/>
        <w:numId w:val="76"/>
      </w:numPr>
      <w:overflowPunct w:val="0"/>
      <w:autoSpaceDE w:val="0"/>
      <w:autoSpaceDN w:val="0"/>
      <w:adjustRightInd w:val="0"/>
      <w:spacing w:after="240" w:line="240" w:lineRule="exact"/>
      <w:textAlignment w:val="baseline"/>
    </w:pPr>
    <w:rPr>
      <w:sz w:val="22"/>
      <w:szCs w:val="20"/>
    </w:rPr>
  </w:style>
  <w:style w:type="paragraph" w:styleId="Header">
    <w:name w:val="header"/>
    <w:basedOn w:val="Normal"/>
    <w:link w:val="HeaderChar"/>
    <w:unhideWhenUsed/>
    <w:rsid w:val="002D2C46"/>
    <w:pPr>
      <w:tabs>
        <w:tab w:val="center" w:pos="4680"/>
        <w:tab w:val="right" w:pos="9360"/>
      </w:tabs>
    </w:pPr>
  </w:style>
  <w:style w:type="character" w:customStyle="1" w:styleId="HeaderChar">
    <w:name w:val="Header Char"/>
    <w:basedOn w:val="DefaultParagraphFont"/>
    <w:link w:val="Header"/>
    <w:rsid w:val="002D2C46"/>
    <w:rPr>
      <w:sz w:val="24"/>
      <w:szCs w:val="24"/>
    </w:rPr>
  </w:style>
  <w:style w:type="paragraph" w:styleId="ListParagraph">
    <w:name w:val="List Paragraph"/>
    <w:basedOn w:val="Normal"/>
    <w:uiPriority w:val="34"/>
    <w:rsid w:val="007A7E1B"/>
    <w:pPr>
      <w:ind w:left="720"/>
      <w:contextualSpacing/>
    </w:pPr>
  </w:style>
  <w:style w:type="character" w:styleId="Hyperlink">
    <w:name w:val="Hyperlink"/>
    <w:basedOn w:val="DefaultParagraphFont"/>
    <w:uiPriority w:val="99"/>
    <w:unhideWhenUsed/>
    <w:rsid w:val="00F737F1"/>
    <w:rPr>
      <w:color w:val="0000FF" w:themeColor="hyperlink"/>
      <w:u w:val="single"/>
    </w:rPr>
  </w:style>
  <w:style w:type="paragraph" w:styleId="FootnoteText">
    <w:name w:val="footnote text"/>
    <w:basedOn w:val="Normal"/>
    <w:link w:val="FootnoteTextChar"/>
    <w:semiHidden/>
    <w:unhideWhenUsed/>
    <w:rsid w:val="00AF24EE"/>
    <w:rPr>
      <w:sz w:val="20"/>
      <w:szCs w:val="20"/>
    </w:rPr>
  </w:style>
  <w:style w:type="character" w:customStyle="1" w:styleId="FootnoteTextChar">
    <w:name w:val="Footnote Text Char"/>
    <w:basedOn w:val="DefaultParagraphFont"/>
    <w:link w:val="FootnoteText"/>
    <w:semiHidden/>
    <w:rsid w:val="00AF24EE"/>
  </w:style>
  <w:style w:type="paragraph" w:styleId="NormalWeb">
    <w:name w:val="Normal (Web)"/>
    <w:basedOn w:val="Normal"/>
    <w:uiPriority w:val="99"/>
    <w:semiHidden/>
    <w:unhideWhenUsed/>
    <w:rsid w:val="007A53F3"/>
    <w:pPr>
      <w:spacing w:before="100" w:beforeAutospacing="1" w:after="100" w:afterAutospacing="1"/>
      <w:ind w:firstLine="480"/>
    </w:pPr>
  </w:style>
  <w:style w:type="character" w:customStyle="1" w:styleId="StyleArial9ptExpandedby005pt">
    <w:name w:val="Style Arial 9 pt Expanded by  0.05 pt"/>
    <w:basedOn w:val="DefaultParagraphFont"/>
    <w:rsid w:val="00921591"/>
    <w:rPr>
      <w:rFonts w:ascii="Arial" w:hAnsi="Arial"/>
      <w:spacing w:val="0"/>
      <w:w w:val="100"/>
      <w:position w:val="0"/>
      <w:sz w:val="18"/>
    </w:rPr>
  </w:style>
  <w:style w:type="paragraph" w:customStyle="1" w:styleId="StyleArial9ptRight-001Before2ptAfter2pt">
    <w:name w:val="Style Arial 9 pt Right:  -0.01&quot; Before:  2 pt After:  2 pt"/>
    <w:basedOn w:val="Normal"/>
    <w:rsid w:val="00525B7F"/>
    <w:pPr>
      <w:spacing w:before="40" w:after="40"/>
    </w:pPr>
    <w:rPr>
      <w:rFonts w:ascii="Arial" w:hAnsi="Arial"/>
      <w:sz w:val="18"/>
      <w:szCs w:val="20"/>
    </w:rPr>
  </w:style>
  <w:style w:type="paragraph" w:customStyle="1" w:styleId="StyleArial9ptRight-001Before2ptAfter2pt1">
    <w:name w:val="Style Arial 9 pt Right:  -0.01&quot; Before:  2 pt After:  2 pt1"/>
    <w:basedOn w:val="Normal"/>
    <w:rsid w:val="00525B7F"/>
    <w:pPr>
      <w:spacing w:before="40" w:after="40"/>
    </w:pPr>
    <w:rPr>
      <w:rFonts w:ascii="Arial"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972">
      <w:bodyDiv w:val="1"/>
      <w:marLeft w:val="0"/>
      <w:marRight w:val="0"/>
      <w:marTop w:val="0"/>
      <w:marBottom w:val="0"/>
      <w:divBdr>
        <w:top w:val="none" w:sz="0" w:space="0" w:color="auto"/>
        <w:left w:val="none" w:sz="0" w:space="0" w:color="auto"/>
        <w:bottom w:val="none" w:sz="0" w:space="0" w:color="auto"/>
        <w:right w:val="none" w:sz="0" w:space="0" w:color="auto"/>
      </w:divBdr>
      <w:divsChild>
        <w:div w:id="736324649">
          <w:marLeft w:val="0"/>
          <w:marRight w:val="0"/>
          <w:marTop w:val="0"/>
          <w:marBottom w:val="0"/>
          <w:divBdr>
            <w:top w:val="none" w:sz="0" w:space="0" w:color="auto"/>
            <w:left w:val="none" w:sz="0" w:space="0" w:color="auto"/>
            <w:bottom w:val="none" w:sz="0" w:space="0" w:color="auto"/>
            <w:right w:val="none" w:sz="0" w:space="0" w:color="auto"/>
          </w:divBdr>
        </w:div>
      </w:divsChild>
    </w:div>
    <w:div w:id="128280079">
      <w:bodyDiv w:val="1"/>
      <w:marLeft w:val="0"/>
      <w:marRight w:val="0"/>
      <w:marTop w:val="30"/>
      <w:marBottom w:val="750"/>
      <w:divBdr>
        <w:top w:val="none" w:sz="0" w:space="0" w:color="auto"/>
        <w:left w:val="none" w:sz="0" w:space="0" w:color="auto"/>
        <w:bottom w:val="none" w:sz="0" w:space="0" w:color="auto"/>
        <w:right w:val="none" w:sz="0" w:space="0" w:color="auto"/>
      </w:divBdr>
      <w:divsChild>
        <w:div w:id="1422530376">
          <w:marLeft w:val="0"/>
          <w:marRight w:val="0"/>
          <w:marTop w:val="0"/>
          <w:marBottom w:val="0"/>
          <w:divBdr>
            <w:top w:val="none" w:sz="0" w:space="0" w:color="auto"/>
            <w:left w:val="none" w:sz="0" w:space="0" w:color="auto"/>
            <w:bottom w:val="none" w:sz="0" w:space="0" w:color="auto"/>
            <w:right w:val="none" w:sz="0" w:space="0" w:color="auto"/>
          </w:divBdr>
        </w:div>
      </w:divsChild>
    </w:div>
    <w:div w:id="197550452">
      <w:bodyDiv w:val="1"/>
      <w:marLeft w:val="0"/>
      <w:marRight w:val="0"/>
      <w:marTop w:val="0"/>
      <w:marBottom w:val="0"/>
      <w:divBdr>
        <w:top w:val="none" w:sz="0" w:space="0" w:color="auto"/>
        <w:left w:val="none" w:sz="0" w:space="0" w:color="auto"/>
        <w:bottom w:val="none" w:sz="0" w:space="0" w:color="auto"/>
        <w:right w:val="none" w:sz="0" w:space="0" w:color="auto"/>
      </w:divBdr>
    </w:div>
    <w:div w:id="245917026">
      <w:bodyDiv w:val="1"/>
      <w:marLeft w:val="0"/>
      <w:marRight w:val="0"/>
      <w:marTop w:val="30"/>
      <w:marBottom w:val="750"/>
      <w:divBdr>
        <w:top w:val="none" w:sz="0" w:space="0" w:color="auto"/>
        <w:left w:val="none" w:sz="0" w:space="0" w:color="auto"/>
        <w:bottom w:val="none" w:sz="0" w:space="0" w:color="auto"/>
        <w:right w:val="none" w:sz="0" w:space="0" w:color="auto"/>
      </w:divBdr>
      <w:divsChild>
        <w:div w:id="1992756438">
          <w:marLeft w:val="0"/>
          <w:marRight w:val="0"/>
          <w:marTop w:val="0"/>
          <w:marBottom w:val="0"/>
          <w:divBdr>
            <w:top w:val="none" w:sz="0" w:space="0" w:color="auto"/>
            <w:left w:val="none" w:sz="0" w:space="0" w:color="auto"/>
            <w:bottom w:val="none" w:sz="0" w:space="0" w:color="auto"/>
            <w:right w:val="none" w:sz="0" w:space="0" w:color="auto"/>
          </w:divBdr>
        </w:div>
      </w:divsChild>
    </w:div>
    <w:div w:id="1638340818">
      <w:bodyDiv w:val="1"/>
      <w:marLeft w:val="0"/>
      <w:marRight w:val="0"/>
      <w:marTop w:val="30"/>
      <w:marBottom w:val="750"/>
      <w:divBdr>
        <w:top w:val="none" w:sz="0" w:space="0" w:color="auto"/>
        <w:left w:val="none" w:sz="0" w:space="0" w:color="auto"/>
        <w:bottom w:val="none" w:sz="0" w:space="0" w:color="auto"/>
        <w:right w:val="none" w:sz="0" w:space="0" w:color="auto"/>
      </w:divBdr>
      <w:divsChild>
        <w:div w:id="1830174912">
          <w:marLeft w:val="0"/>
          <w:marRight w:val="0"/>
          <w:marTop w:val="0"/>
          <w:marBottom w:val="0"/>
          <w:divBdr>
            <w:top w:val="none" w:sz="0" w:space="0" w:color="auto"/>
            <w:left w:val="none" w:sz="0" w:space="0" w:color="auto"/>
            <w:bottom w:val="none" w:sz="0" w:space="0" w:color="auto"/>
            <w:right w:val="none" w:sz="0" w:space="0" w:color="auto"/>
          </w:divBdr>
        </w:div>
      </w:divsChild>
    </w:div>
    <w:div w:id="1867207980">
      <w:bodyDiv w:val="1"/>
      <w:marLeft w:val="0"/>
      <w:marRight w:val="0"/>
      <w:marTop w:val="30"/>
      <w:marBottom w:val="750"/>
      <w:divBdr>
        <w:top w:val="none" w:sz="0" w:space="0" w:color="auto"/>
        <w:left w:val="none" w:sz="0" w:space="0" w:color="auto"/>
        <w:bottom w:val="none" w:sz="0" w:space="0" w:color="auto"/>
        <w:right w:val="none" w:sz="0" w:space="0" w:color="auto"/>
      </w:divBdr>
      <w:divsChild>
        <w:div w:id="1605646314">
          <w:marLeft w:val="0"/>
          <w:marRight w:val="0"/>
          <w:marTop w:val="0"/>
          <w:marBottom w:val="0"/>
          <w:divBdr>
            <w:top w:val="none" w:sz="0" w:space="0" w:color="auto"/>
            <w:left w:val="none" w:sz="0" w:space="0" w:color="auto"/>
            <w:bottom w:val="none" w:sz="0" w:space="0" w:color="auto"/>
            <w:right w:val="none" w:sz="0" w:space="0" w:color="auto"/>
          </w:divBdr>
        </w:div>
      </w:divsChild>
    </w:div>
    <w:div w:id="18742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homas.RAMSEY\Local%20Settings\Temporary%20Internet%20Files\Content.Outlook\GXIEO4OA\OCCDMRM_n896453_v3_Template_for_Comptrollers_Handbook_bookl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E388-AB16-41D4-B522-0ECB47172064}">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2269046-EAF1-4998-BD1C-EAD227545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04654D-E4F3-4A86-A38D-4218464A4509}">
  <ds:schemaRefs>
    <ds:schemaRef ds:uri="http://schemas.microsoft.com/sharepoint/v3/contenttype/forms"/>
  </ds:schemaRefs>
</ds:datastoreItem>
</file>

<file path=customXml/itemProps4.xml><?xml version="1.0" encoding="utf-8"?>
<ds:datastoreItem xmlns:ds="http://schemas.openxmlformats.org/officeDocument/2006/customXml" ds:itemID="{77E933D2-A632-4912-90AC-B95F2177E1DB}">
  <ds:schemaRefs>
    <ds:schemaRef ds:uri="http://schemas.openxmlformats.org/officeDocument/2006/bibliography"/>
  </ds:schemaRefs>
</ds:datastoreItem>
</file>

<file path=customXml/itemProps5.xml><?xml version="1.0" encoding="utf-8"?>
<ds:datastoreItem xmlns:ds="http://schemas.openxmlformats.org/officeDocument/2006/customXml" ds:itemID="{36D08EAC-BA3F-423B-A4BA-F2B7949A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OCCDMRM_n896453_v3_Template_for_Comptrollers_Handbook_booklets.dotx</Template>
  <TotalTime>7</TotalTime>
  <Pages>21</Pages>
  <Words>9149</Words>
  <Characters>52152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Electronic Fund Transfer Act, Comptroller's Handbook</vt:lpstr>
    </vt:vector>
  </TitlesOfParts>
  <Company>OCC</Company>
  <LinksUpToDate>false</LinksUpToDate>
  <CharactersWithSpaces>61179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Fund Transfer Act, Comptroller's Handbook</dc:title>
  <dc:subject>Compliance/BSA Policy&gt;Compliance Policy&gt;Deposits and Payments&gt;Electronic Fund Transfer Act (Reg E);Compliance/BSA Policy&gt;Consumer Compliance&gt;Depository Services;Consumer Protection&gt;Depository Services (Savings and Checking Accounts)&gt;Electronic Fund Transfers</dc:subject>
  <dc:creator>OCC</dc:creator>
  <cp:keywords>Compliance Policy, EFTA, Consumer Compliance, Electronic Fund Transfer Act, EFT, electronic funds transfer, funds transfer</cp:keywords>
  <cp:lastModifiedBy>Dow, Lily</cp:lastModifiedBy>
  <cp:revision>6</cp:revision>
  <cp:lastPrinted>2014-08-19T14:55:00Z</cp:lastPrinted>
  <dcterms:created xsi:type="dcterms:W3CDTF">2017-07-05T20:04:00Z</dcterms:created>
  <dcterms:modified xsi:type="dcterms:W3CDTF">2017-08-31T21:14:00Z</dcterms:modified>
</cp:coreProperties>
</file>